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53A8" w:rsidRDefault="008853A8">
      <w:pPr>
        <w:rPr>
          <w:rFonts w:ascii="黑体" w:eastAsia="黑体" w:hAnsi="黑体"/>
          <w:sz w:val="32"/>
          <w:szCs w:val="32"/>
        </w:rPr>
      </w:pPr>
      <w:r>
        <w:rPr>
          <w:rFonts w:ascii="黑体" w:eastAsia="黑体" w:hAnsi="黑体" w:hint="eastAsia"/>
          <w:sz w:val="32"/>
          <w:szCs w:val="32"/>
        </w:rPr>
        <w:t>附件：</w:t>
      </w:r>
    </w:p>
    <w:p w:rsidR="008853A8" w:rsidRDefault="008853A8">
      <w:pPr>
        <w:jc w:val="center"/>
        <w:rPr>
          <w:rFonts w:ascii="方正小标宋_GBK" w:eastAsia="方正小标宋_GBK" w:hAnsi="宋体"/>
          <w:sz w:val="44"/>
          <w:szCs w:val="44"/>
        </w:rPr>
      </w:pPr>
    </w:p>
    <w:p w:rsidR="008853A8" w:rsidRDefault="008853A8">
      <w:pPr>
        <w:jc w:val="center"/>
        <w:rPr>
          <w:rFonts w:ascii="方正小标宋_GBK" w:eastAsia="方正小标宋_GBK" w:hAnsi="宋体"/>
          <w:sz w:val="44"/>
          <w:szCs w:val="44"/>
        </w:rPr>
      </w:pPr>
    </w:p>
    <w:p w:rsidR="008853A8" w:rsidRDefault="008853A8">
      <w:pPr>
        <w:jc w:val="center"/>
        <w:rPr>
          <w:rFonts w:ascii="方正小标宋_GBK" w:eastAsia="方正小标宋_GBK" w:hAnsi="宋体"/>
          <w:sz w:val="44"/>
          <w:szCs w:val="44"/>
        </w:rPr>
      </w:pPr>
    </w:p>
    <w:p w:rsidR="008853A8" w:rsidRDefault="008853A8">
      <w:pPr>
        <w:jc w:val="center"/>
        <w:rPr>
          <w:rFonts w:ascii="方正小标宋_GBK" w:eastAsia="方正小标宋_GBK" w:hAnsi="宋体"/>
          <w:sz w:val="44"/>
          <w:szCs w:val="44"/>
        </w:rPr>
      </w:pPr>
    </w:p>
    <w:p w:rsidR="008853A8" w:rsidRDefault="00377EC6">
      <w:pPr>
        <w:jc w:val="center"/>
        <w:rPr>
          <w:rFonts w:ascii="方正小标宋_GBK" w:eastAsia="方正小标宋_GBK" w:hAnsi="宋体"/>
          <w:sz w:val="44"/>
          <w:szCs w:val="44"/>
        </w:rPr>
      </w:pPr>
      <w:r>
        <w:rPr>
          <w:rFonts w:ascii="方正小标宋_GBK" w:eastAsia="方正小标宋_GBK" w:hAnsi="方正小标宋_GBK" w:cs="方正小标宋_GBK"/>
          <w:sz w:val="44"/>
        </w:rPr>
        <w:t>新疆喀什地区质量技术监督局机关服务中心2019年度部门决算</w:t>
      </w:r>
    </w:p>
    <w:p w:rsidR="008853A8" w:rsidRDefault="008853A8">
      <w:pPr>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8853A8" w:rsidRDefault="008853A8">
      <w:pPr>
        <w:jc w:val="center"/>
        <w:rPr>
          <w:rFonts w:ascii="仿宋_GB2312" w:eastAsia="仿宋_GB2312" w:hAnsi="仿宋_GB2312" w:cs="仿宋_GB2312"/>
          <w:bCs/>
          <w:kern w:val="0"/>
          <w:sz w:val="32"/>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lastRenderedPageBreak/>
        <w:t>目 录</w:t>
      </w:r>
    </w:p>
    <w:p w:rsidR="008853A8" w:rsidRDefault="008853A8">
      <w:pPr>
        <w:pStyle w:val="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Pr>
            <w:rFonts w:ascii="仿宋_GB2312" w:eastAsia="仿宋_GB2312" w:hAnsi="仿宋_GB2312" w:cs="仿宋_GB2312" w:hint="eastAsia"/>
            <w:b/>
            <w:bCs/>
            <w:sz w:val="32"/>
            <w:szCs w:val="32"/>
          </w:rPr>
          <w:t>第一部分 部门单位概况</w:t>
        </w:r>
      </w:hyperlink>
    </w:p>
    <w:p w:rsidR="008853A8" w:rsidRDefault="008F5F06">
      <w:pPr>
        <w:pStyle w:val="2"/>
        <w:tabs>
          <w:tab w:val="right" w:pos="8306"/>
        </w:tabs>
        <w:ind w:leftChars="0" w:left="0"/>
        <w:rPr>
          <w:rFonts w:ascii="仿宋_GB2312" w:eastAsia="仿宋_GB2312" w:hAnsi="仿宋_GB2312" w:cs="仿宋_GB2312"/>
          <w:sz w:val="32"/>
          <w:szCs w:val="32"/>
        </w:rPr>
      </w:pPr>
      <w:hyperlink w:anchor="_Toc30567" w:history="1">
        <w:r w:rsidR="008853A8">
          <w:rPr>
            <w:rFonts w:ascii="仿宋_GB2312" w:eastAsia="仿宋_GB2312" w:hAnsi="仿宋_GB2312" w:cs="仿宋_GB2312" w:hint="eastAsia"/>
            <w:bCs/>
            <w:kern w:val="0"/>
            <w:sz w:val="32"/>
            <w:szCs w:val="32"/>
          </w:rPr>
          <w:t>一、主要职能</w:t>
        </w:r>
      </w:hyperlink>
    </w:p>
    <w:p w:rsidR="008853A8" w:rsidRDefault="008F5F06">
      <w:pPr>
        <w:pStyle w:val="2"/>
        <w:tabs>
          <w:tab w:val="right" w:pos="8306"/>
        </w:tabs>
        <w:ind w:leftChars="0" w:left="0"/>
        <w:rPr>
          <w:rFonts w:ascii="仿宋_GB2312" w:eastAsia="仿宋_GB2312" w:hAnsi="仿宋_GB2312" w:cs="仿宋_GB2312"/>
          <w:sz w:val="32"/>
          <w:szCs w:val="32"/>
        </w:rPr>
      </w:pPr>
      <w:hyperlink w:anchor="_Toc2151" w:history="1">
        <w:r w:rsidR="008853A8">
          <w:rPr>
            <w:rFonts w:ascii="仿宋_GB2312" w:eastAsia="仿宋_GB2312" w:hAnsi="仿宋_GB2312" w:cs="仿宋_GB2312" w:hint="eastAsia"/>
            <w:bCs/>
            <w:kern w:val="0"/>
            <w:sz w:val="32"/>
            <w:szCs w:val="32"/>
          </w:rPr>
          <w:t>二、机构设置及人员情况</w:t>
        </w:r>
      </w:hyperlink>
    </w:p>
    <w:p w:rsidR="008853A8" w:rsidRDefault="008F5F06">
      <w:pPr>
        <w:pStyle w:val="1"/>
        <w:tabs>
          <w:tab w:val="right" w:pos="8306"/>
        </w:tabs>
        <w:rPr>
          <w:rFonts w:ascii="仿宋_GB2312" w:eastAsia="仿宋_GB2312" w:hAnsi="仿宋_GB2312" w:cs="仿宋_GB2312"/>
          <w:b/>
          <w:bCs/>
          <w:sz w:val="32"/>
          <w:szCs w:val="32"/>
        </w:rPr>
      </w:pPr>
      <w:hyperlink w:anchor="_Toc29374" w:history="1">
        <w:r w:rsidR="008853A8">
          <w:rPr>
            <w:rFonts w:ascii="仿宋_GB2312" w:eastAsia="仿宋_GB2312" w:hAnsi="仿宋_GB2312" w:cs="仿宋_GB2312" w:hint="eastAsia"/>
            <w:b/>
            <w:bCs/>
            <w:sz w:val="32"/>
            <w:szCs w:val="32"/>
          </w:rPr>
          <w:t>第二部分 部门决算情况说明</w:t>
        </w:r>
      </w:hyperlink>
    </w:p>
    <w:p w:rsidR="008853A8" w:rsidRDefault="008F5F06">
      <w:pPr>
        <w:pStyle w:val="2"/>
        <w:tabs>
          <w:tab w:val="right" w:pos="8306"/>
        </w:tabs>
        <w:ind w:leftChars="0" w:left="0"/>
        <w:rPr>
          <w:rFonts w:ascii="仿宋_GB2312" w:eastAsia="仿宋_GB2312" w:hAnsi="仿宋_GB2312" w:cs="仿宋_GB2312"/>
          <w:sz w:val="32"/>
          <w:szCs w:val="32"/>
        </w:rPr>
      </w:pPr>
      <w:hyperlink w:anchor="_Toc25314" w:history="1">
        <w:r w:rsidR="008853A8">
          <w:rPr>
            <w:rFonts w:ascii="仿宋_GB2312" w:eastAsia="仿宋_GB2312" w:hAnsi="仿宋_GB2312" w:cs="仿宋_GB2312" w:hint="eastAsia"/>
            <w:bCs/>
            <w:kern w:val="0"/>
            <w:sz w:val="32"/>
            <w:szCs w:val="32"/>
          </w:rPr>
          <w:t>一、收入支出决算总体情况说明</w:t>
        </w:r>
      </w:hyperlink>
    </w:p>
    <w:p w:rsidR="008853A8" w:rsidRDefault="008F5F06">
      <w:pPr>
        <w:pStyle w:val="2"/>
        <w:tabs>
          <w:tab w:val="right" w:pos="8306"/>
        </w:tabs>
        <w:ind w:leftChars="0" w:left="0"/>
        <w:rPr>
          <w:rFonts w:ascii="仿宋_GB2312" w:eastAsia="仿宋_GB2312" w:hAnsi="仿宋_GB2312" w:cs="仿宋_GB2312"/>
          <w:sz w:val="32"/>
          <w:szCs w:val="32"/>
        </w:rPr>
      </w:pPr>
      <w:hyperlink w:anchor="_Toc12142" w:history="1">
        <w:r w:rsidR="008853A8">
          <w:rPr>
            <w:rFonts w:ascii="仿宋_GB2312" w:eastAsia="仿宋_GB2312" w:hAnsi="仿宋_GB2312" w:cs="仿宋_GB2312" w:hint="eastAsia"/>
            <w:bCs/>
            <w:kern w:val="0"/>
            <w:sz w:val="32"/>
            <w:szCs w:val="32"/>
          </w:rPr>
          <w:t>二、收入决算情况说明</w:t>
        </w:r>
      </w:hyperlink>
    </w:p>
    <w:p w:rsidR="008853A8" w:rsidRDefault="008F5F06">
      <w:pPr>
        <w:pStyle w:val="2"/>
        <w:tabs>
          <w:tab w:val="right" w:pos="8306"/>
        </w:tabs>
        <w:ind w:leftChars="0" w:left="0"/>
        <w:rPr>
          <w:rFonts w:ascii="仿宋_GB2312" w:eastAsia="仿宋_GB2312" w:hAnsi="仿宋_GB2312" w:cs="仿宋_GB2312"/>
          <w:sz w:val="32"/>
          <w:szCs w:val="32"/>
        </w:rPr>
      </w:pPr>
      <w:hyperlink w:anchor="_Toc13201" w:history="1">
        <w:r w:rsidR="008853A8">
          <w:rPr>
            <w:rFonts w:ascii="仿宋_GB2312" w:eastAsia="仿宋_GB2312" w:hAnsi="仿宋_GB2312" w:cs="仿宋_GB2312" w:hint="eastAsia"/>
            <w:bCs/>
            <w:kern w:val="0"/>
            <w:sz w:val="32"/>
            <w:szCs w:val="32"/>
          </w:rPr>
          <w:t>三、支出决算情况说明</w:t>
        </w:r>
      </w:hyperlink>
    </w:p>
    <w:p w:rsidR="008853A8" w:rsidRDefault="008F5F06">
      <w:pPr>
        <w:pStyle w:val="2"/>
        <w:tabs>
          <w:tab w:val="right" w:pos="8306"/>
        </w:tabs>
        <w:ind w:leftChars="0" w:left="0"/>
        <w:rPr>
          <w:rFonts w:ascii="仿宋_GB2312" w:eastAsia="仿宋_GB2312" w:hAnsi="仿宋_GB2312" w:cs="仿宋_GB2312"/>
          <w:sz w:val="32"/>
          <w:szCs w:val="32"/>
        </w:rPr>
      </w:pPr>
      <w:hyperlink w:anchor="_Toc26564" w:history="1">
        <w:r w:rsidR="008853A8">
          <w:rPr>
            <w:rFonts w:ascii="仿宋_GB2312" w:eastAsia="仿宋_GB2312" w:hAnsi="仿宋_GB2312" w:cs="仿宋_GB2312" w:hint="eastAsia"/>
            <w:bCs/>
            <w:kern w:val="0"/>
            <w:sz w:val="32"/>
            <w:szCs w:val="32"/>
          </w:rPr>
          <w:t>四、财政拨款收入支出决算总体情况说明</w:t>
        </w:r>
      </w:hyperlink>
    </w:p>
    <w:p w:rsidR="008853A8" w:rsidRDefault="008F5F06">
      <w:pPr>
        <w:pStyle w:val="2"/>
        <w:tabs>
          <w:tab w:val="right" w:pos="8306"/>
        </w:tabs>
        <w:ind w:leftChars="0" w:left="0"/>
        <w:rPr>
          <w:rFonts w:ascii="仿宋_GB2312" w:eastAsia="仿宋_GB2312" w:hAnsi="仿宋_GB2312" w:cs="仿宋_GB2312"/>
          <w:sz w:val="32"/>
          <w:szCs w:val="32"/>
        </w:rPr>
      </w:pPr>
      <w:hyperlink w:anchor="_Toc20360" w:history="1">
        <w:r w:rsidR="008853A8">
          <w:rPr>
            <w:rFonts w:ascii="仿宋_GB2312" w:eastAsia="仿宋_GB2312" w:hAnsi="仿宋_GB2312" w:cs="仿宋_GB2312" w:hint="eastAsia"/>
            <w:bCs/>
            <w:kern w:val="0"/>
            <w:sz w:val="32"/>
            <w:szCs w:val="32"/>
          </w:rPr>
          <w:t>五、一般公共预算财政拨款支出决算情况说明</w:t>
        </w:r>
      </w:hyperlink>
    </w:p>
    <w:p w:rsidR="008853A8" w:rsidRDefault="008F5F06">
      <w:pPr>
        <w:pStyle w:val="2"/>
        <w:tabs>
          <w:tab w:val="right" w:pos="8306"/>
        </w:tabs>
        <w:ind w:leftChars="0" w:left="0"/>
        <w:rPr>
          <w:rFonts w:ascii="仿宋_GB2312" w:eastAsia="仿宋_GB2312" w:hAnsi="仿宋_GB2312" w:cs="仿宋_GB2312"/>
          <w:sz w:val="32"/>
          <w:szCs w:val="32"/>
        </w:rPr>
      </w:pPr>
      <w:hyperlink w:anchor="_Toc30870" w:history="1">
        <w:r w:rsidR="008853A8">
          <w:rPr>
            <w:rFonts w:ascii="仿宋_GB2312" w:eastAsia="仿宋_GB2312" w:hAnsi="仿宋_GB2312" w:cs="仿宋_GB2312" w:hint="eastAsia"/>
            <w:bCs/>
            <w:kern w:val="0"/>
            <w:sz w:val="32"/>
            <w:szCs w:val="32"/>
          </w:rPr>
          <w:t>六、一般公共预算财政拨款基本支出决算情况说明</w:t>
        </w:r>
      </w:hyperlink>
    </w:p>
    <w:p w:rsidR="008853A8" w:rsidRDefault="008F5F06">
      <w:pPr>
        <w:pStyle w:val="2"/>
        <w:tabs>
          <w:tab w:val="right" w:pos="8306"/>
        </w:tabs>
        <w:ind w:leftChars="0" w:left="0"/>
        <w:rPr>
          <w:rFonts w:ascii="仿宋_GB2312" w:eastAsia="仿宋_GB2312" w:hAnsi="仿宋_GB2312" w:cs="仿宋_GB2312"/>
          <w:sz w:val="32"/>
          <w:szCs w:val="32"/>
        </w:rPr>
      </w:pPr>
      <w:hyperlink w:anchor="_Toc21518" w:history="1">
        <w:r w:rsidR="008853A8">
          <w:rPr>
            <w:rFonts w:ascii="仿宋_GB2312" w:eastAsia="仿宋_GB2312" w:hAnsi="仿宋_GB2312" w:cs="仿宋_GB2312" w:hint="eastAsia"/>
            <w:bCs/>
            <w:kern w:val="0"/>
            <w:sz w:val="32"/>
            <w:szCs w:val="32"/>
          </w:rPr>
          <w:t>七、一般公共预算财政拨款“三公”经费支出决算情况说明</w:t>
        </w:r>
      </w:hyperlink>
    </w:p>
    <w:p w:rsidR="008853A8" w:rsidRDefault="008F5F06">
      <w:pPr>
        <w:pStyle w:val="2"/>
        <w:tabs>
          <w:tab w:val="right" w:pos="8306"/>
        </w:tabs>
        <w:ind w:leftChars="0" w:left="0"/>
        <w:rPr>
          <w:rFonts w:ascii="仿宋_GB2312" w:eastAsia="仿宋_GB2312" w:hAnsi="仿宋_GB2312" w:cs="仿宋_GB2312"/>
          <w:sz w:val="32"/>
          <w:szCs w:val="32"/>
        </w:rPr>
      </w:pPr>
      <w:hyperlink w:anchor="_Toc5810" w:history="1">
        <w:r w:rsidR="008853A8">
          <w:rPr>
            <w:rFonts w:ascii="仿宋_GB2312" w:eastAsia="仿宋_GB2312" w:hAnsi="仿宋_GB2312" w:cs="仿宋_GB2312" w:hint="eastAsia"/>
            <w:bCs/>
            <w:kern w:val="0"/>
            <w:sz w:val="32"/>
            <w:szCs w:val="32"/>
          </w:rPr>
          <w:t>八、政府性基金预算收入支出决算情况说明</w:t>
        </w:r>
      </w:hyperlink>
    </w:p>
    <w:p w:rsidR="008853A8" w:rsidRDefault="008F5F06">
      <w:pPr>
        <w:pStyle w:val="2"/>
        <w:tabs>
          <w:tab w:val="right" w:pos="8306"/>
        </w:tabs>
        <w:ind w:leftChars="0" w:left="0"/>
        <w:rPr>
          <w:rFonts w:ascii="仿宋_GB2312" w:eastAsia="仿宋_GB2312" w:hAnsi="仿宋_GB2312" w:cs="仿宋_GB2312"/>
          <w:sz w:val="32"/>
          <w:szCs w:val="32"/>
        </w:rPr>
      </w:pPr>
      <w:hyperlink w:anchor="_Toc1235" w:history="1">
        <w:r w:rsidR="008853A8">
          <w:rPr>
            <w:rFonts w:ascii="仿宋_GB2312" w:eastAsia="仿宋_GB2312" w:hAnsi="仿宋_GB2312" w:cs="仿宋_GB2312" w:hint="eastAsia"/>
            <w:bCs/>
            <w:kern w:val="0"/>
            <w:sz w:val="32"/>
            <w:szCs w:val="32"/>
          </w:rPr>
          <w:t>九、其他重要事项的情况说明</w:t>
        </w:r>
      </w:hyperlink>
    </w:p>
    <w:p w:rsidR="008853A8" w:rsidRDefault="008F5F06">
      <w:pPr>
        <w:pStyle w:val="3"/>
        <w:tabs>
          <w:tab w:val="right" w:pos="8306"/>
        </w:tabs>
        <w:ind w:leftChars="0" w:left="0"/>
        <w:rPr>
          <w:rFonts w:ascii="仿宋_GB2312" w:eastAsia="仿宋_GB2312" w:hAnsi="仿宋_GB2312" w:cs="仿宋_GB2312"/>
          <w:sz w:val="32"/>
          <w:szCs w:val="32"/>
        </w:rPr>
      </w:pPr>
      <w:hyperlink w:anchor="_Toc14519" w:history="1">
        <w:r w:rsidR="008853A8">
          <w:rPr>
            <w:rFonts w:ascii="仿宋_GB2312" w:eastAsia="仿宋_GB2312" w:hAnsi="仿宋_GB2312" w:cs="仿宋_GB2312" w:hint="eastAsia"/>
            <w:sz w:val="32"/>
            <w:szCs w:val="32"/>
          </w:rPr>
          <w:t>（一）机关运行经费支出情况</w:t>
        </w:r>
      </w:hyperlink>
    </w:p>
    <w:p w:rsidR="008853A8" w:rsidRDefault="008F5F06">
      <w:pPr>
        <w:pStyle w:val="3"/>
        <w:tabs>
          <w:tab w:val="right" w:pos="8306"/>
        </w:tabs>
        <w:ind w:leftChars="0" w:left="0"/>
        <w:rPr>
          <w:rFonts w:ascii="仿宋_GB2312" w:eastAsia="仿宋_GB2312" w:hAnsi="仿宋_GB2312" w:cs="仿宋_GB2312"/>
          <w:sz w:val="32"/>
          <w:szCs w:val="32"/>
        </w:rPr>
      </w:pPr>
      <w:hyperlink w:anchor="_Toc227" w:history="1">
        <w:r w:rsidR="008853A8">
          <w:rPr>
            <w:rFonts w:ascii="仿宋_GB2312" w:eastAsia="仿宋_GB2312" w:hAnsi="仿宋_GB2312" w:cs="仿宋_GB2312" w:hint="eastAsia"/>
            <w:sz w:val="32"/>
            <w:szCs w:val="32"/>
          </w:rPr>
          <w:t>（二）政府采购情况</w:t>
        </w:r>
      </w:hyperlink>
    </w:p>
    <w:p w:rsidR="008853A8" w:rsidRDefault="008F5F06">
      <w:pPr>
        <w:pStyle w:val="3"/>
        <w:tabs>
          <w:tab w:val="right" w:pos="8306"/>
        </w:tabs>
        <w:ind w:leftChars="0" w:left="0"/>
        <w:rPr>
          <w:rFonts w:ascii="仿宋_GB2312" w:eastAsia="仿宋_GB2312" w:hAnsi="仿宋_GB2312" w:cs="仿宋_GB2312"/>
          <w:sz w:val="32"/>
          <w:szCs w:val="32"/>
        </w:rPr>
      </w:pPr>
      <w:hyperlink w:anchor="_Toc8391" w:history="1">
        <w:r w:rsidR="008853A8">
          <w:rPr>
            <w:rFonts w:ascii="仿宋_GB2312" w:eastAsia="仿宋_GB2312" w:hAnsi="仿宋_GB2312" w:cs="仿宋_GB2312" w:hint="eastAsia"/>
            <w:sz w:val="32"/>
            <w:szCs w:val="32"/>
          </w:rPr>
          <w:t>（三）国有资产占用情况说明</w:t>
        </w:r>
      </w:hyperlink>
    </w:p>
    <w:p w:rsidR="008853A8" w:rsidRDefault="008F5F06">
      <w:pPr>
        <w:pStyle w:val="2"/>
        <w:tabs>
          <w:tab w:val="right" w:pos="8306"/>
        </w:tabs>
        <w:ind w:leftChars="0" w:left="0"/>
        <w:rPr>
          <w:rFonts w:ascii="仿宋_GB2312" w:eastAsia="仿宋_GB2312" w:hAnsi="仿宋_GB2312" w:cs="仿宋_GB2312"/>
          <w:sz w:val="32"/>
          <w:szCs w:val="32"/>
        </w:rPr>
      </w:pPr>
      <w:hyperlink w:anchor="_Toc11283" w:history="1">
        <w:r w:rsidR="008853A8">
          <w:rPr>
            <w:rFonts w:ascii="仿宋_GB2312" w:eastAsia="仿宋_GB2312" w:hAnsi="仿宋_GB2312" w:cs="仿宋_GB2312" w:hint="eastAsia"/>
            <w:bCs/>
            <w:kern w:val="0"/>
            <w:sz w:val="32"/>
            <w:szCs w:val="32"/>
          </w:rPr>
          <w:t>十、预算绩效的情况说明</w:t>
        </w:r>
      </w:hyperlink>
    </w:p>
    <w:p w:rsidR="008853A8" w:rsidRDefault="008F5F06">
      <w:pPr>
        <w:pStyle w:val="1"/>
        <w:tabs>
          <w:tab w:val="right" w:pos="8306"/>
        </w:tabs>
        <w:rPr>
          <w:rFonts w:ascii="仿宋_GB2312" w:eastAsia="仿宋_GB2312" w:hAnsi="仿宋_GB2312" w:cs="仿宋_GB2312"/>
          <w:b/>
          <w:bCs/>
          <w:sz w:val="32"/>
          <w:szCs w:val="32"/>
        </w:rPr>
      </w:pPr>
      <w:hyperlink w:anchor="_Toc3250" w:history="1">
        <w:r w:rsidR="008853A8">
          <w:rPr>
            <w:rFonts w:ascii="仿宋_GB2312" w:eastAsia="仿宋_GB2312" w:hAnsi="仿宋_GB2312" w:cs="仿宋_GB2312" w:hint="eastAsia"/>
            <w:b/>
            <w:bCs/>
            <w:sz w:val="32"/>
            <w:szCs w:val="32"/>
          </w:rPr>
          <w:t>第三部分 专业名词解释</w:t>
        </w:r>
      </w:hyperlink>
    </w:p>
    <w:p w:rsidR="008853A8" w:rsidRDefault="008F5F06">
      <w:pPr>
        <w:pStyle w:val="1"/>
        <w:tabs>
          <w:tab w:val="right" w:pos="8306"/>
        </w:tabs>
        <w:rPr>
          <w:rFonts w:ascii="仿宋_GB2312" w:eastAsia="仿宋_GB2312" w:hAnsi="仿宋_GB2312" w:cs="仿宋_GB2312"/>
          <w:b/>
          <w:bCs/>
          <w:sz w:val="32"/>
          <w:szCs w:val="32"/>
        </w:rPr>
      </w:pPr>
      <w:hyperlink w:anchor="_Toc22784" w:history="1">
        <w:r w:rsidR="008853A8">
          <w:rPr>
            <w:rFonts w:ascii="仿宋_GB2312" w:eastAsia="仿宋_GB2312" w:hAnsi="仿宋_GB2312" w:cs="仿宋_GB2312" w:hint="eastAsia"/>
            <w:b/>
            <w:bCs/>
            <w:sz w:val="32"/>
            <w:szCs w:val="32"/>
          </w:rPr>
          <w:t>第四部分 部门决算报表（见附表）</w:t>
        </w:r>
      </w:hyperlink>
    </w:p>
    <w:p w:rsidR="008853A8" w:rsidRDefault="008F5F06">
      <w:pPr>
        <w:pStyle w:val="2"/>
        <w:tabs>
          <w:tab w:val="right" w:pos="8306"/>
        </w:tabs>
        <w:ind w:leftChars="0" w:left="0"/>
        <w:rPr>
          <w:rFonts w:ascii="仿宋_GB2312" w:eastAsia="仿宋_GB2312" w:hAnsi="仿宋_GB2312" w:cs="仿宋_GB2312"/>
          <w:sz w:val="32"/>
          <w:szCs w:val="32"/>
        </w:rPr>
      </w:pPr>
      <w:hyperlink w:anchor="_Toc2183" w:history="1">
        <w:r w:rsidR="008853A8">
          <w:rPr>
            <w:rFonts w:ascii="仿宋_GB2312" w:eastAsia="仿宋_GB2312" w:hAnsi="仿宋_GB2312" w:cs="仿宋_GB2312" w:hint="eastAsia"/>
            <w:bCs/>
            <w:kern w:val="0"/>
            <w:sz w:val="32"/>
            <w:szCs w:val="32"/>
          </w:rPr>
          <w:t>一、《收入支出决算总表》</w:t>
        </w:r>
      </w:hyperlink>
    </w:p>
    <w:p w:rsidR="008853A8" w:rsidRDefault="008F5F06">
      <w:pPr>
        <w:pStyle w:val="2"/>
        <w:tabs>
          <w:tab w:val="right" w:pos="8306"/>
        </w:tabs>
        <w:ind w:leftChars="0" w:left="0"/>
        <w:rPr>
          <w:rFonts w:ascii="仿宋_GB2312" w:eastAsia="仿宋_GB2312" w:hAnsi="仿宋_GB2312" w:cs="仿宋_GB2312"/>
          <w:sz w:val="32"/>
          <w:szCs w:val="32"/>
        </w:rPr>
      </w:pPr>
      <w:hyperlink w:anchor="_Toc24532" w:history="1">
        <w:r w:rsidR="008853A8">
          <w:rPr>
            <w:rFonts w:ascii="仿宋_GB2312" w:eastAsia="仿宋_GB2312" w:hAnsi="仿宋_GB2312" w:cs="仿宋_GB2312" w:hint="eastAsia"/>
            <w:bCs/>
            <w:kern w:val="0"/>
            <w:sz w:val="32"/>
            <w:szCs w:val="32"/>
          </w:rPr>
          <w:t>二、《收入决算表》</w:t>
        </w:r>
      </w:hyperlink>
    </w:p>
    <w:p w:rsidR="008853A8" w:rsidRDefault="008F5F06">
      <w:pPr>
        <w:pStyle w:val="2"/>
        <w:tabs>
          <w:tab w:val="right" w:pos="8306"/>
        </w:tabs>
        <w:ind w:leftChars="0" w:left="0"/>
        <w:rPr>
          <w:rFonts w:ascii="仿宋_GB2312" w:eastAsia="仿宋_GB2312" w:hAnsi="仿宋_GB2312" w:cs="仿宋_GB2312"/>
          <w:sz w:val="32"/>
          <w:szCs w:val="32"/>
        </w:rPr>
      </w:pPr>
      <w:hyperlink w:anchor="_Toc32434" w:history="1">
        <w:r w:rsidR="008853A8">
          <w:rPr>
            <w:rFonts w:ascii="仿宋_GB2312" w:eastAsia="仿宋_GB2312" w:hAnsi="仿宋_GB2312" w:cs="仿宋_GB2312" w:hint="eastAsia"/>
            <w:bCs/>
            <w:kern w:val="0"/>
            <w:sz w:val="32"/>
            <w:szCs w:val="32"/>
          </w:rPr>
          <w:t>三、《支出决算表》</w:t>
        </w:r>
      </w:hyperlink>
    </w:p>
    <w:p w:rsidR="008853A8" w:rsidRDefault="008F5F06">
      <w:pPr>
        <w:pStyle w:val="2"/>
        <w:tabs>
          <w:tab w:val="right" w:pos="8306"/>
        </w:tabs>
        <w:ind w:leftChars="0" w:left="0"/>
        <w:rPr>
          <w:rFonts w:ascii="仿宋_GB2312" w:eastAsia="仿宋_GB2312" w:hAnsi="仿宋_GB2312" w:cs="仿宋_GB2312"/>
          <w:sz w:val="32"/>
          <w:szCs w:val="32"/>
        </w:rPr>
      </w:pPr>
      <w:hyperlink w:anchor="_Toc28786" w:history="1">
        <w:r w:rsidR="008853A8">
          <w:rPr>
            <w:rFonts w:ascii="仿宋_GB2312" w:eastAsia="仿宋_GB2312" w:hAnsi="仿宋_GB2312" w:cs="仿宋_GB2312" w:hint="eastAsia"/>
            <w:bCs/>
            <w:kern w:val="0"/>
            <w:sz w:val="32"/>
            <w:szCs w:val="32"/>
          </w:rPr>
          <w:t>四、《财政拨款收入支出决算总表》</w:t>
        </w:r>
      </w:hyperlink>
    </w:p>
    <w:p w:rsidR="008853A8" w:rsidRDefault="008F5F06">
      <w:pPr>
        <w:pStyle w:val="2"/>
        <w:tabs>
          <w:tab w:val="right" w:pos="8306"/>
        </w:tabs>
        <w:ind w:leftChars="0" w:left="0"/>
        <w:rPr>
          <w:rFonts w:ascii="仿宋_GB2312" w:eastAsia="仿宋_GB2312" w:hAnsi="仿宋_GB2312" w:cs="仿宋_GB2312"/>
          <w:sz w:val="32"/>
          <w:szCs w:val="32"/>
        </w:rPr>
      </w:pPr>
      <w:hyperlink w:anchor="_Toc14869" w:history="1">
        <w:r w:rsidR="008853A8">
          <w:rPr>
            <w:rFonts w:ascii="仿宋_GB2312" w:eastAsia="仿宋_GB2312" w:hAnsi="仿宋_GB2312" w:cs="仿宋_GB2312" w:hint="eastAsia"/>
            <w:bCs/>
            <w:kern w:val="0"/>
            <w:sz w:val="32"/>
            <w:szCs w:val="32"/>
          </w:rPr>
          <w:t>五、《一般公共预算财政拨款支出决算表》</w:t>
        </w:r>
      </w:hyperlink>
    </w:p>
    <w:p w:rsidR="008853A8" w:rsidRDefault="008F5F06">
      <w:pPr>
        <w:pStyle w:val="2"/>
        <w:tabs>
          <w:tab w:val="right" w:pos="8306"/>
        </w:tabs>
        <w:ind w:leftChars="0" w:left="0"/>
        <w:rPr>
          <w:rFonts w:ascii="仿宋_GB2312" w:eastAsia="仿宋_GB2312" w:hAnsi="仿宋_GB2312" w:cs="仿宋_GB2312"/>
          <w:sz w:val="32"/>
          <w:szCs w:val="32"/>
        </w:rPr>
      </w:pPr>
      <w:hyperlink w:anchor="_Toc8884" w:history="1">
        <w:r w:rsidR="008853A8">
          <w:rPr>
            <w:rFonts w:ascii="仿宋_GB2312" w:eastAsia="仿宋_GB2312" w:hAnsi="仿宋_GB2312" w:cs="仿宋_GB2312" w:hint="eastAsia"/>
            <w:bCs/>
            <w:kern w:val="0"/>
            <w:sz w:val="32"/>
            <w:szCs w:val="32"/>
          </w:rPr>
          <w:t>六、《一般公共预算财政拨款基本支出决算表》</w:t>
        </w:r>
      </w:hyperlink>
    </w:p>
    <w:p w:rsidR="008853A8" w:rsidRDefault="008F5F06">
      <w:pPr>
        <w:pStyle w:val="2"/>
        <w:tabs>
          <w:tab w:val="right" w:pos="8306"/>
        </w:tabs>
        <w:ind w:leftChars="0" w:left="0"/>
        <w:rPr>
          <w:rFonts w:ascii="仿宋_GB2312" w:eastAsia="仿宋_GB2312" w:hAnsi="仿宋_GB2312" w:cs="仿宋_GB2312"/>
          <w:sz w:val="32"/>
          <w:szCs w:val="32"/>
        </w:rPr>
      </w:pPr>
      <w:hyperlink w:anchor="_Toc29106" w:history="1">
        <w:r w:rsidR="008853A8">
          <w:rPr>
            <w:rFonts w:ascii="仿宋_GB2312" w:eastAsia="仿宋_GB2312" w:hAnsi="仿宋_GB2312" w:cs="仿宋_GB2312" w:hint="eastAsia"/>
            <w:bCs/>
            <w:kern w:val="0"/>
            <w:sz w:val="32"/>
            <w:szCs w:val="32"/>
          </w:rPr>
          <w:t>七、《一般公共预算财政拨款“三公”经费支出决算表》</w:t>
        </w:r>
      </w:hyperlink>
    </w:p>
    <w:p w:rsidR="008853A8" w:rsidRDefault="008F5F06">
      <w:pPr>
        <w:pStyle w:val="2"/>
        <w:tabs>
          <w:tab w:val="right" w:pos="8306"/>
        </w:tabs>
        <w:ind w:leftChars="0" w:left="0"/>
        <w:rPr>
          <w:rFonts w:ascii="仿宋_GB2312" w:eastAsia="仿宋_GB2312" w:hAnsi="仿宋_GB2312" w:cs="仿宋_GB2312"/>
          <w:sz w:val="32"/>
          <w:szCs w:val="32"/>
        </w:rPr>
      </w:pPr>
      <w:hyperlink w:anchor="_Toc7643" w:history="1">
        <w:r w:rsidR="008853A8">
          <w:rPr>
            <w:rFonts w:ascii="仿宋_GB2312" w:eastAsia="仿宋_GB2312" w:hAnsi="仿宋_GB2312" w:cs="仿宋_GB2312" w:hint="eastAsia"/>
            <w:bCs/>
            <w:kern w:val="0"/>
            <w:sz w:val="32"/>
            <w:szCs w:val="32"/>
          </w:rPr>
          <w:t>八、《政府性基金预算财政拨款收入支出决算表》</w:t>
        </w:r>
      </w:hyperlink>
    </w:p>
    <w:p w:rsidR="008853A8" w:rsidRDefault="008853A8">
      <w:r>
        <w:rPr>
          <w:rFonts w:ascii="仿宋_GB2312" w:eastAsia="仿宋_GB2312" w:hAnsi="仿宋_GB2312" w:cs="仿宋_GB2312" w:hint="eastAsia"/>
          <w:sz w:val="32"/>
          <w:szCs w:val="32"/>
        </w:rPr>
        <w:fldChar w:fldCharType="end"/>
      </w:r>
    </w:p>
    <w:p w:rsidR="008853A8" w:rsidRDefault="008853A8">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bookmarkStart w:id="0" w:name="_Toc24028"/>
      <w:bookmarkStart w:id="1" w:name="_Toc32314"/>
      <w:r>
        <w:rPr>
          <w:rFonts w:ascii="黑体" w:eastAsia="黑体" w:hAnsi="黑体" w:hint="eastAsia"/>
          <w:sz w:val="32"/>
          <w:szCs w:val="32"/>
        </w:rPr>
        <w:lastRenderedPageBreak/>
        <w:t>第一部分 部门单位概况</w:t>
      </w:r>
      <w:bookmarkEnd w:id="0"/>
      <w:bookmarkEnd w:id="1"/>
    </w:p>
    <w:p w:rsidR="008853A8" w:rsidRDefault="008853A8">
      <w:pPr>
        <w:ind w:firstLineChars="200" w:firstLine="640"/>
        <w:outlineLvl w:val="1"/>
        <w:rPr>
          <w:rFonts w:ascii="黑体" w:eastAsia="黑体" w:hAnsi="黑体" w:cs="宋体"/>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rsidR="00622F0B" w:rsidRDefault="008F5F06">
      <w:pPr>
        <w:ind w:firstLine="480"/>
      </w:pPr>
      <w:r>
        <w:rPr>
          <w:rFonts w:ascii="仿宋_GB2312" w:eastAsia="仿宋_GB2312" w:hAnsi="仿宋_GB2312" w:cs="仿宋_GB2312"/>
          <w:sz w:val="32"/>
        </w:rPr>
        <w:t>1</w:t>
      </w:r>
      <w:r>
        <w:rPr>
          <w:rFonts w:ascii="仿宋_GB2312" w:eastAsia="仿宋_GB2312" w:hAnsi="仿宋_GB2312" w:cs="仿宋_GB2312"/>
          <w:sz w:val="32"/>
        </w:rPr>
        <w:t>、负责机关后勤管理和服务工作，制定相关工作制度和规定。</w:t>
      </w:r>
      <w:r>
        <w:rPr>
          <w:rFonts w:ascii="仿宋_GB2312" w:eastAsia="仿宋_GB2312" w:hAnsi="仿宋_GB2312" w:cs="仿宋_GB2312"/>
          <w:sz w:val="32"/>
        </w:rPr>
        <w:t>2</w:t>
      </w:r>
      <w:r>
        <w:rPr>
          <w:rFonts w:ascii="仿宋_GB2312" w:eastAsia="仿宋_GB2312" w:hAnsi="仿宋_GB2312" w:cs="仿宋_GB2312"/>
          <w:sz w:val="32"/>
        </w:rPr>
        <w:t>、负责各类公用设施的维护和管理。</w:t>
      </w:r>
      <w:r>
        <w:rPr>
          <w:rFonts w:ascii="仿宋_GB2312" w:eastAsia="仿宋_GB2312" w:hAnsi="仿宋_GB2312" w:cs="仿宋_GB2312"/>
          <w:sz w:val="32"/>
        </w:rPr>
        <w:t>3</w:t>
      </w:r>
      <w:r>
        <w:rPr>
          <w:rFonts w:ascii="仿宋_GB2312" w:eastAsia="仿宋_GB2312" w:hAnsi="仿宋_GB2312" w:cs="仿宋_GB2312"/>
          <w:sz w:val="32"/>
        </w:rPr>
        <w:t>、负责办公用品、设备的采购和使用管理。</w:t>
      </w:r>
      <w:r>
        <w:rPr>
          <w:rFonts w:ascii="仿宋_GB2312" w:eastAsia="仿宋_GB2312" w:hAnsi="仿宋_GB2312" w:cs="仿宋_GB2312"/>
          <w:sz w:val="32"/>
        </w:rPr>
        <w:t>4</w:t>
      </w:r>
      <w:r>
        <w:rPr>
          <w:rFonts w:ascii="仿宋_GB2312" w:eastAsia="仿宋_GB2312" w:hAnsi="仿宋_GB2312" w:cs="仿宋_GB2312"/>
          <w:sz w:val="32"/>
        </w:rPr>
        <w:t>、负责各种会议的会务工作和局机关的接待工作。</w:t>
      </w:r>
      <w:r>
        <w:rPr>
          <w:rFonts w:ascii="仿宋_GB2312" w:eastAsia="仿宋_GB2312" w:hAnsi="仿宋_GB2312" w:cs="仿宋_GB2312"/>
          <w:sz w:val="32"/>
        </w:rPr>
        <w:t>5</w:t>
      </w:r>
      <w:r>
        <w:rPr>
          <w:rFonts w:ascii="仿宋_GB2312" w:eastAsia="仿宋_GB2312" w:hAnsi="仿宋_GB2312" w:cs="仿宋_GB2312"/>
          <w:sz w:val="32"/>
        </w:rPr>
        <w:t>、负责局机关车辆管理和用车调度。</w:t>
      </w:r>
      <w:r>
        <w:rPr>
          <w:rFonts w:ascii="仿宋_GB2312" w:eastAsia="仿宋_GB2312" w:hAnsi="仿宋_GB2312" w:cs="仿宋_GB2312"/>
          <w:sz w:val="32"/>
        </w:rPr>
        <w:t>6</w:t>
      </w:r>
      <w:r>
        <w:rPr>
          <w:rFonts w:ascii="仿宋_GB2312" w:eastAsia="仿宋_GB2312" w:hAnsi="仿宋_GB2312" w:cs="仿宋_GB2312"/>
          <w:sz w:val="32"/>
        </w:rPr>
        <w:t>、负责机关办公区和生活区的综合治理、门卫值班、环境卫生等工作。</w:t>
      </w:r>
      <w:r>
        <w:rPr>
          <w:rFonts w:ascii="仿宋_GB2312" w:eastAsia="仿宋_GB2312" w:hAnsi="仿宋_GB2312" w:cs="仿宋_GB2312"/>
          <w:sz w:val="32"/>
        </w:rPr>
        <w:t>7</w:t>
      </w:r>
      <w:r>
        <w:rPr>
          <w:rFonts w:ascii="仿宋_GB2312" w:eastAsia="仿宋_GB2312" w:hAnsi="仿宋_GB2312" w:cs="仿宋_GB2312"/>
          <w:sz w:val="32"/>
        </w:rPr>
        <w:t>、负责机关综合治理、住房、物业、户籍、车辆、水电、安全保卫、消防管理。</w:t>
      </w:r>
    </w:p>
    <w:p w:rsidR="008853A8" w:rsidRDefault="008853A8">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rsidR="001F777A" w:rsidRPr="001F777A" w:rsidRDefault="001F777A" w:rsidP="001F777A">
      <w:pPr>
        <w:ind w:firstLineChars="200" w:firstLine="640"/>
      </w:pPr>
      <w:r>
        <w:rPr>
          <w:rFonts w:ascii="仿宋_GB2312" w:eastAsia="仿宋_GB2312" w:hAnsi="仿宋_GB2312" w:cs="仿宋_GB2312"/>
          <w:sz w:val="32"/>
        </w:rPr>
        <w:t>新疆喀什地区质量技术监督局机关服务中心2019年度，实有人数6人，其中：在职人员5人，离休人员0人，退休人员1人。</w:t>
      </w:r>
    </w:p>
    <w:p w:rsidR="00862395" w:rsidRDefault="00862395" w:rsidP="00862395">
      <w:pPr>
        <w:ind w:firstLineChars="200" w:firstLine="640"/>
        <w:rPr>
          <w:rFonts w:ascii="仿宋_GB2312" w:eastAsia="仿宋_GB2312"/>
          <w:sz w:val="32"/>
          <w:szCs w:val="32"/>
        </w:rPr>
      </w:pPr>
      <w:r>
        <w:rPr>
          <w:rFonts w:ascii="仿宋_GB2312" w:eastAsia="仿宋_GB2312" w:hAnsi="仿宋_GB2312" w:cs="仿宋_GB2312"/>
          <w:sz w:val="32"/>
        </w:rPr>
        <w:t>从部门决算单位构成看，新疆喀什地区质量技术监督局机关服务中心部门决算包括：新疆喀什地区质量技术监督局机关服务中心决算。</w:t>
      </w:r>
    </w:p>
    <w:p w:rsidR="008853A8" w:rsidRDefault="008853A8">
      <w:pPr>
        <w:ind w:firstLineChars="200" w:firstLine="640"/>
        <w:jc w:val="center"/>
        <w:outlineLvl w:val="0"/>
        <w:rPr>
          <w:rFonts w:ascii="黑体" w:eastAsia="黑体" w:hAnsi="黑体"/>
          <w:sz w:val="32"/>
          <w:szCs w:val="32"/>
        </w:rPr>
      </w:pPr>
      <w:bookmarkStart w:id="6" w:name="_Toc3092"/>
      <w:bookmarkStart w:id="7" w:name="_Toc29374"/>
      <w:r>
        <w:rPr>
          <w:rFonts w:ascii="黑体" w:eastAsia="黑体" w:hAnsi="黑体" w:hint="eastAsia"/>
          <w:sz w:val="32"/>
          <w:szCs w:val="32"/>
        </w:rPr>
        <w:t>第二部分 部门决算情况说明</w:t>
      </w:r>
      <w:bookmarkEnd w:id="6"/>
      <w:bookmarkEnd w:id="7"/>
    </w:p>
    <w:p w:rsidR="008853A8" w:rsidRDefault="008853A8">
      <w:pPr>
        <w:ind w:firstLineChars="200" w:firstLine="640"/>
        <w:outlineLvl w:val="1"/>
        <w:rPr>
          <w:rFonts w:ascii="黑体" w:eastAsia="黑体" w:hAnsi="黑体" w:cs="宋体"/>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rsidR="008853A8" w:rsidRDefault="007E3BFD">
      <w:pPr>
        <w:ind w:firstLineChars="200" w:firstLine="640"/>
        <w:rPr>
          <w:rFonts w:ascii="仿宋_GB2312" w:eastAsia="仿宋_GB2312"/>
          <w:sz w:val="32"/>
          <w:szCs w:val="32"/>
        </w:rPr>
      </w:pPr>
      <w:r>
        <w:rPr>
          <w:rFonts w:ascii="仿宋_GB2312" w:eastAsia="仿宋_GB2312" w:hAnsi="仿宋_GB2312" w:cs="仿宋_GB2312"/>
          <w:sz w:val="32"/>
        </w:rPr>
        <w:t>2019年度本年收入71.50万元，与上年相比，增加3.17万元，增长4.64%，主要原因是：1、2018年度我单位一人长期病假，按照规定发放60%工资及不发放年终奖，而本年度此人已回到工作岗位并支付其工资；2、人员调整工资标</w:t>
      </w:r>
      <w:r>
        <w:rPr>
          <w:rFonts w:ascii="仿宋_GB2312" w:eastAsia="仿宋_GB2312" w:hAnsi="仿宋_GB2312" w:cs="仿宋_GB2312"/>
          <w:sz w:val="32"/>
        </w:rPr>
        <w:lastRenderedPageBreak/>
        <w:t>准所致。本年支出71.50万元，与上年相比，增加3.17万元，增长4.64%，主要原因是：1、2018年度我单位一人长期病假，按照规定发放60%工资及不发放年终奖，而本年度此人已回到工作岗位并支付其工资；2、人员调整工资标准所致。</w:t>
      </w:r>
    </w:p>
    <w:p w:rsidR="008853A8" w:rsidRDefault="008853A8">
      <w:pPr>
        <w:ind w:firstLineChars="200" w:firstLine="640"/>
        <w:outlineLvl w:val="1"/>
        <w:rPr>
          <w:rFonts w:ascii="黑体" w:eastAsia="黑体" w:hAnsi="黑体" w:cs="宋体"/>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rsidR="008853A8" w:rsidRDefault="00125A6F">
      <w:pPr>
        <w:ind w:firstLineChars="200" w:firstLine="640"/>
        <w:rPr>
          <w:rFonts w:ascii="仿宋_GB2312" w:eastAsia="仿宋_GB2312"/>
          <w:sz w:val="32"/>
          <w:szCs w:val="32"/>
        </w:rPr>
      </w:pPr>
      <w:r>
        <w:rPr>
          <w:rFonts w:ascii="仿宋_GB2312" w:eastAsia="仿宋_GB2312" w:hAnsi="仿宋_GB2312" w:cs="仿宋_GB2312"/>
          <w:sz w:val="32"/>
        </w:rPr>
        <w:t>2019年度本年收入71.50万元，其中：财政拨款收入71.50万元，占100%；上级补助收入0万元，占0%；事业收入0万元，占0%；经营收入0万元，占0%；附属单位上缴收入0万元，占0%；其他收入0万元，占0%。</w:t>
      </w:r>
    </w:p>
    <w:p w:rsidR="008853A8" w:rsidRDefault="008853A8">
      <w:pPr>
        <w:ind w:firstLineChars="200" w:firstLine="640"/>
        <w:outlineLvl w:val="1"/>
        <w:rPr>
          <w:rFonts w:ascii="黑体" w:eastAsia="黑体" w:hAnsi="黑体" w:cs="宋体"/>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rsidR="008853A8" w:rsidRDefault="00233021">
      <w:pPr>
        <w:ind w:firstLineChars="200" w:firstLine="640"/>
        <w:rPr>
          <w:rFonts w:ascii="仿宋_GB2312" w:eastAsia="仿宋_GB2312"/>
          <w:sz w:val="32"/>
          <w:szCs w:val="32"/>
        </w:rPr>
      </w:pPr>
      <w:r>
        <w:rPr>
          <w:rFonts w:ascii="仿宋_GB2312" w:eastAsia="仿宋_GB2312" w:hAnsi="仿宋_GB2312" w:cs="仿宋_GB2312"/>
          <w:sz w:val="32"/>
        </w:rPr>
        <w:t>2019年度本年支出71.50万元，其中：基本支出71.50万元，占100%；项目支出0万元，占0%；上缴上级支出0万元，占0%；经营支出0万元，占0%；对附属单位补助支出0万元，占0%。</w:t>
      </w:r>
    </w:p>
    <w:p w:rsidR="008853A8" w:rsidRDefault="008853A8">
      <w:pPr>
        <w:ind w:firstLineChars="200" w:firstLine="640"/>
        <w:outlineLvl w:val="1"/>
        <w:rPr>
          <w:rFonts w:ascii="黑体" w:eastAsia="黑体" w:hAnsi="黑体" w:cs="宋体"/>
          <w:bCs/>
          <w:kern w:val="0"/>
          <w:sz w:val="32"/>
          <w:szCs w:val="32"/>
        </w:rPr>
      </w:pPr>
      <w:bookmarkStart w:id="14" w:name="_Toc4393"/>
      <w:bookmarkStart w:id="15" w:name="_Toc26564"/>
      <w:r>
        <w:rPr>
          <w:rFonts w:ascii="黑体" w:eastAsia="黑体" w:hAnsi="黑体" w:cs="宋体" w:hint="eastAsia"/>
          <w:bCs/>
          <w:kern w:val="0"/>
          <w:sz w:val="32"/>
          <w:szCs w:val="32"/>
        </w:rPr>
        <w:t>四、财政拨款收入支出决算总体情况说明</w:t>
      </w:r>
      <w:bookmarkEnd w:id="14"/>
      <w:bookmarkEnd w:id="15"/>
    </w:p>
    <w:p w:rsidR="008853A8" w:rsidRPr="001848EE" w:rsidRDefault="001C2D35">
      <w:pPr>
        <w:ind w:firstLineChars="200" w:firstLine="640"/>
        <w:rPr>
          <w:rFonts w:ascii="仿宋_GB2312" w:eastAsia="仿宋_GB2312"/>
          <w:sz w:val="32"/>
          <w:szCs w:val="32"/>
        </w:rPr>
      </w:pPr>
      <w:r>
        <w:rPr>
          <w:rFonts w:ascii="仿宋_GB2312" w:eastAsia="仿宋_GB2312" w:hAnsi="仿宋_GB2312" w:cs="仿宋_GB2312"/>
          <w:sz w:val="32"/>
        </w:rPr>
        <w:t>2019年度财政拨款收入71.50万元，与上年相比，增加3.17万元，增长4.64%，主要原因是：1、2018年度我单位一人长期病假，按照规定发放60%工资及不发放年终奖，而本年度此人已回到工作岗位并支付其工资；2、人员调整工资标准所致。财政拨款支出71.50万元，与上年相比，增加3.17万元，增长4.64%，主要原因是：1、2018年度我单位</w:t>
      </w:r>
      <w:r>
        <w:rPr>
          <w:rFonts w:ascii="仿宋_GB2312" w:eastAsia="仿宋_GB2312" w:hAnsi="仿宋_GB2312" w:cs="仿宋_GB2312"/>
          <w:sz w:val="32"/>
        </w:rPr>
        <w:lastRenderedPageBreak/>
        <w:t>一人长期病假，按照规定发放60%工资及不发放年终奖，而本年度此人已回到工作岗位并支付其工资；2、人员调整工资标准所致。</w:t>
      </w:r>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与年初预算数相比情况：财政拨款收入年初预算数77.98万元，决算数71.50万元，预决算差异率-8.31%，主要原因是：1、部门预算中年终一次性奖金、精神文明奖、社会管理综合治理奖尚未支出；2、退休人员长期居住在外地，未支付退休人员活动费。财政拨款支出年初预算数77.98万元，决算数71.50万元，预决算差异率-8.31%，主要原因是：1、部门预算中年终一次性奖金、精神文明奖、社会管理综合治理奖尚未支出；2、退休人员长期居住在外地，未支付退休人员活动费。</w:t>
      </w:r>
    </w:p>
    <w:p w:rsidR="008853A8" w:rsidRDefault="008853A8">
      <w:pPr>
        <w:ind w:firstLineChars="200" w:firstLine="640"/>
        <w:outlineLvl w:val="1"/>
        <w:rPr>
          <w:rFonts w:ascii="黑体" w:eastAsia="黑体" w:hAnsi="黑体" w:cs="宋体"/>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rsidR="008853A8" w:rsidRDefault="005529D0">
      <w:pPr>
        <w:ind w:firstLineChars="200" w:firstLine="640"/>
        <w:rPr>
          <w:rFonts w:ascii="仿宋_GB2312" w:eastAsia="仿宋_GB2312"/>
          <w:sz w:val="32"/>
          <w:szCs w:val="32"/>
        </w:rPr>
      </w:pPr>
      <w:r>
        <w:rPr>
          <w:rFonts w:ascii="仿宋_GB2312" w:eastAsia="仿宋_GB2312" w:hAnsi="仿宋_GB2312" w:cs="仿宋_GB2312"/>
          <w:sz w:val="32"/>
        </w:rPr>
        <w:t>2019年度一般公共预算财政拨款支出71.50万元。按功能分类科目项级科目公开，其中：</w:t>
      </w:r>
    </w:p>
    <w:p w:rsidR="00622F0B" w:rsidRDefault="008F5F06">
      <w:pPr>
        <w:ind w:firstLine="480"/>
      </w:pPr>
      <w:r>
        <w:rPr>
          <w:rFonts w:ascii="仿宋_GB2312" w:eastAsia="仿宋_GB2312" w:hAnsi="仿宋_GB2312" w:cs="仿宋_GB2312"/>
          <w:sz w:val="32"/>
        </w:rPr>
        <w:t xml:space="preserve">   2013803</w:t>
      </w:r>
      <w:r>
        <w:rPr>
          <w:rFonts w:ascii="仿宋_GB2312" w:eastAsia="仿宋_GB2312" w:hAnsi="仿宋_GB2312" w:cs="仿宋_GB2312"/>
          <w:sz w:val="32"/>
        </w:rPr>
        <w:t>机关服务支出</w:t>
      </w:r>
      <w:r>
        <w:rPr>
          <w:rFonts w:ascii="仿宋_GB2312" w:eastAsia="仿宋_GB2312" w:hAnsi="仿宋_GB2312" w:cs="仿宋_GB2312"/>
          <w:sz w:val="32"/>
        </w:rPr>
        <w:t>58.82</w:t>
      </w:r>
      <w:r>
        <w:rPr>
          <w:rFonts w:ascii="仿宋_GB2312" w:eastAsia="仿宋_GB2312" w:hAnsi="仿宋_GB2312" w:cs="仿宋_GB2312"/>
          <w:sz w:val="32"/>
        </w:rPr>
        <w:t>万元</w:t>
      </w:r>
      <w:r>
        <w:rPr>
          <w:rFonts w:ascii="仿宋_GB2312" w:eastAsia="仿宋_GB2312" w:hAnsi="仿宋_GB2312" w:cs="仿宋_GB2312"/>
          <w:sz w:val="32"/>
        </w:rPr>
        <w:t>；</w:t>
      </w:r>
    </w:p>
    <w:p w:rsidR="00622F0B" w:rsidRDefault="008F5F06">
      <w:pPr>
        <w:ind w:firstLine="480"/>
      </w:pPr>
      <w:r>
        <w:rPr>
          <w:rFonts w:ascii="仿宋_GB2312" w:eastAsia="仿宋_GB2312" w:hAnsi="仿宋_GB2312" w:cs="仿宋_GB2312"/>
          <w:sz w:val="32"/>
        </w:rPr>
        <w:t xml:space="preserve">   2080505</w:t>
      </w:r>
      <w:r>
        <w:rPr>
          <w:rFonts w:ascii="仿宋_GB2312" w:eastAsia="仿宋_GB2312" w:hAnsi="仿宋_GB2312" w:cs="仿宋_GB2312"/>
          <w:sz w:val="32"/>
        </w:rPr>
        <w:t>机关事业单位基本养老保险缴费支出</w:t>
      </w:r>
      <w:r>
        <w:rPr>
          <w:rFonts w:ascii="仿宋_GB2312" w:eastAsia="仿宋_GB2312" w:hAnsi="仿宋_GB2312" w:cs="仿宋_GB2312"/>
          <w:sz w:val="32"/>
        </w:rPr>
        <w:t>6.83</w:t>
      </w:r>
      <w:r>
        <w:rPr>
          <w:rFonts w:ascii="仿宋_GB2312" w:eastAsia="仿宋_GB2312" w:hAnsi="仿宋_GB2312" w:cs="仿宋_GB2312"/>
          <w:sz w:val="32"/>
        </w:rPr>
        <w:t>万元；</w:t>
      </w:r>
    </w:p>
    <w:p w:rsidR="00622F0B" w:rsidRDefault="008F5F06">
      <w:pPr>
        <w:ind w:firstLine="480"/>
      </w:pPr>
      <w:r>
        <w:rPr>
          <w:rFonts w:ascii="仿宋_GB2312" w:eastAsia="仿宋_GB2312" w:hAnsi="仿宋_GB2312" w:cs="仿宋_GB2312"/>
          <w:sz w:val="32"/>
        </w:rPr>
        <w:t xml:space="preserve">   2080506</w:t>
      </w:r>
      <w:r>
        <w:rPr>
          <w:rFonts w:ascii="仿宋_GB2312" w:eastAsia="仿宋_GB2312" w:hAnsi="仿宋_GB2312" w:cs="仿宋_GB2312"/>
          <w:sz w:val="32"/>
        </w:rPr>
        <w:t>机关事业单位职业年金缴费支出</w:t>
      </w:r>
      <w:r>
        <w:rPr>
          <w:rFonts w:ascii="仿宋_GB2312" w:eastAsia="仿宋_GB2312" w:hAnsi="仿宋_GB2312" w:cs="仿宋_GB2312"/>
          <w:sz w:val="32"/>
        </w:rPr>
        <w:t>0.80</w:t>
      </w:r>
      <w:r>
        <w:rPr>
          <w:rFonts w:ascii="仿宋_GB2312" w:eastAsia="仿宋_GB2312" w:hAnsi="仿宋_GB2312" w:cs="仿宋_GB2312"/>
          <w:sz w:val="32"/>
        </w:rPr>
        <w:t>万元；</w:t>
      </w:r>
    </w:p>
    <w:p w:rsidR="00622F0B" w:rsidRDefault="008F5F06">
      <w:pPr>
        <w:ind w:firstLine="480"/>
      </w:pPr>
      <w:r>
        <w:rPr>
          <w:rFonts w:ascii="仿宋_GB2312" w:eastAsia="仿宋_GB2312" w:hAnsi="仿宋_GB2312" w:cs="仿宋_GB2312"/>
          <w:sz w:val="32"/>
        </w:rPr>
        <w:t xml:space="preserve">   2210201</w:t>
      </w:r>
      <w:r>
        <w:rPr>
          <w:rFonts w:ascii="仿宋_GB2312" w:eastAsia="仿宋_GB2312" w:hAnsi="仿宋_GB2312" w:cs="仿宋_GB2312"/>
          <w:sz w:val="32"/>
        </w:rPr>
        <w:t>住房公积金支出</w:t>
      </w:r>
      <w:r>
        <w:rPr>
          <w:rFonts w:ascii="仿宋_GB2312" w:eastAsia="仿宋_GB2312" w:hAnsi="仿宋_GB2312" w:cs="仿宋_GB2312"/>
          <w:sz w:val="32"/>
        </w:rPr>
        <w:t>5.05</w:t>
      </w:r>
      <w:r>
        <w:rPr>
          <w:rFonts w:ascii="仿宋_GB2312" w:eastAsia="仿宋_GB2312" w:hAnsi="仿宋_GB2312" w:cs="仿宋_GB2312"/>
          <w:sz w:val="32"/>
        </w:rPr>
        <w:t>万元。</w:t>
      </w:r>
    </w:p>
    <w:p w:rsidR="008853A8" w:rsidRDefault="008853A8">
      <w:pPr>
        <w:ind w:firstLineChars="200" w:firstLine="640"/>
        <w:outlineLvl w:val="1"/>
        <w:rPr>
          <w:rFonts w:ascii="黑体" w:eastAsia="黑体" w:hAnsi="黑体" w:cs="宋体"/>
          <w:bCs/>
          <w:kern w:val="0"/>
          <w:sz w:val="32"/>
          <w:szCs w:val="32"/>
        </w:rPr>
      </w:pPr>
      <w:bookmarkStart w:id="18" w:name="_Toc11146"/>
      <w:bookmarkStart w:id="19" w:name="_Toc30870"/>
      <w:r>
        <w:rPr>
          <w:rFonts w:ascii="黑体" w:eastAsia="黑体" w:hAnsi="黑体" w:cs="宋体" w:hint="eastAsia"/>
          <w:bCs/>
          <w:kern w:val="0"/>
          <w:sz w:val="32"/>
          <w:szCs w:val="32"/>
        </w:rPr>
        <w:t>六、一般公共预算财政拨款基本支出决算情况说明</w:t>
      </w:r>
      <w:bookmarkEnd w:id="18"/>
      <w:bookmarkEnd w:id="19"/>
    </w:p>
    <w:p w:rsidR="008853A8" w:rsidRDefault="005B1DE6">
      <w:pPr>
        <w:ind w:firstLineChars="200" w:firstLine="640"/>
        <w:rPr>
          <w:rFonts w:ascii="仿宋_GB2312" w:eastAsia="仿宋_GB2312"/>
          <w:sz w:val="32"/>
          <w:szCs w:val="32"/>
        </w:rPr>
      </w:pPr>
      <w:r>
        <w:rPr>
          <w:rFonts w:ascii="仿宋_GB2312" w:eastAsia="仿宋_GB2312" w:hAnsi="仿宋_GB2312" w:cs="仿宋_GB2312"/>
          <w:sz w:val="32"/>
        </w:rPr>
        <w:t>2019年度一般公共预算财政拨款基本支出71.50万元，</w:t>
      </w:r>
      <w:r>
        <w:rPr>
          <w:rFonts w:ascii="仿宋_GB2312" w:eastAsia="仿宋_GB2312" w:hAnsi="仿宋_GB2312" w:cs="仿宋_GB2312"/>
          <w:sz w:val="32"/>
        </w:rPr>
        <w:lastRenderedPageBreak/>
        <w:t>其中：</w:t>
      </w:r>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人员经费67.77万元，包括：基本工资、津贴补贴、奖金、绩效工资、机关事业单位基本养老保险缴费、职业年金缴费、其他社会保障缴费、住房公积金、退休费、奖励金。</w:t>
      </w:r>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公用经费3.73万元，包括：办公费、水费、电费、邮电费、差旅费、公务用车运行维护费、其他交通费用。</w:t>
      </w:r>
    </w:p>
    <w:p w:rsidR="008853A8" w:rsidRDefault="008853A8">
      <w:pPr>
        <w:ind w:firstLineChars="200" w:firstLine="640"/>
        <w:outlineLvl w:val="1"/>
        <w:rPr>
          <w:rFonts w:ascii="黑体" w:eastAsia="黑体" w:hAnsi="黑体" w:cs="宋体"/>
          <w:bCs/>
          <w:kern w:val="0"/>
          <w:sz w:val="32"/>
          <w:szCs w:val="32"/>
        </w:rPr>
      </w:pPr>
      <w:bookmarkStart w:id="20" w:name="_Toc7190"/>
      <w:bookmarkStart w:id="21" w:name="_Toc21518"/>
      <w:r>
        <w:rPr>
          <w:rFonts w:ascii="黑体" w:eastAsia="黑体" w:hAnsi="黑体" w:cs="宋体" w:hint="eastAsia"/>
          <w:bCs/>
          <w:kern w:val="0"/>
          <w:sz w:val="32"/>
          <w:szCs w:val="32"/>
        </w:rPr>
        <w:t>七、一般公共预算财政拨款“三公”经费支出决算情况说明</w:t>
      </w:r>
      <w:bookmarkEnd w:id="20"/>
      <w:bookmarkEnd w:id="21"/>
    </w:p>
    <w:p w:rsidR="008853A8" w:rsidRDefault="00340AE7">
      <w:pPr>
        <w:ind w:firstLineChars="200" w:firstLine="640"/>
        <w:rPr>
          <w:rFonts w:ascii="仿宋_GB2312" w:eastAsia="仿宋_GB2312"/>
          <w:sz w:val="32"/>
          <w:szCs w:val="32"/>
        </w:rPr>
      </w:pPr>
      <w:r>
        <w:rPr>
          <w:rFonts w:ascii="仿宋_GB2312" w:eastAsia="仿宋_GB2312" w:hAnsi="仿宋_GB2312" w:cs="仿宋_GB2312"/>
          <w:sz w:val="32"/>
        </w:rPr>
        <w:t>2019年度一般公共预算“三公”经费支出决算1.30万元，比上年增加0万元，增长0%，主要原因是与上年相比无变动，与上年一致。其中，因公出国（境）费支出0万元，占0%，比上年增加0万元，增长0%，主要原因是预算未安排，无此项支出；公务用车购置及运行维护费支出1.30万元，占100%，比上年增加0万元，增长0%，主要原因是与上年相比无变动，与上年一致；公务接待费支出0万元，占0%，比上年增加0万元，增长0%，主要原因是预算未安排，无此项支出。具体情况如下：</w:t>
      </w:r>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因公出国（境）费支出0万元，开支内容包括：预算未安排，无此项支出。单位全年安排的因公出国（境）团组0个，因公出国（境）0人次。</w:t>
      </w:r>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公务用车购置及运行维护费1.30万元，其中，公务用车购置费0万元，公务用车运行维护费1.30万元。公务用</w:t>
      </w:r>
      <w:r>
        <w:rPr>
          <w:rFonts w:ascii="仿宋_GB2312" w:eastAsia="仿宋_GB2312" w:hAnsi="仿宋_GB2312" w:cs="仿宋_GB2312"/>
          <w:sz w:val="32"/>
        </w:rPr>
        <w:lastRenderedPageBreak/>
        <w:t>车运行维护费开支内容包括车辆维护费、过路费、保险费。公务用车购置数0辆，公务用车保有量1辆。</w:t>
      </w:r>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公务接待费0万元，开支内容包括预算未安排，无此项支出。单位全年安排的国内公务接待0批次，0人次。</w:t>
      </w:r>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与年初预算数相比情况：一般公共预算“三公”经费支出年初预算数1.30万元，决算数1.30万元，预决算差异率0%，主要原因是：预决算相比无差异。其中：因公出国（境）费预算数0万元，决算数0万元，预决算差异率0%，主要原因是：预算未安排，无此项支出；公务用车购置费预算数0万元，决算数0万元，预决算差异率0%，主要原因是：预算未安排，无此项支出；公务用车运行费预算数1.30万元，决算数1.30万元，预决算差异率0%，主要原因是：预决算相比无差异；公务接待费预算数0万元，决算数0万元，预决算差异率0%，主要原因是：预算未安排，无此项支出。</w:t>
      </w:r>
    </w:p>
    <w:p w:rsidR="008853A8" w:rsidRDefault="008853A8">
      <w:pPr>
        <w:ind w:firstLineChars="200" w:firstLine="640"/>
        <w:outlineLvl w:val="1"/>
        <w:rPr>
          <w:rFonts w:ascii="黑体" w:eastAsia="黑体" w:hAnsi="黑体" w:cs="宋体"/>
          <w:bCs/>
          <w:kern w:val="0"/>
          <w:sz w:val="32"/>
          <w:szCs w:val="32"/>
        </w:rPr>
      </w:pPr>
      <w:bookmarkStart w:id="22" w:name="_Toc7927"/>
      <w:bookmarkStart w:id="23" w:name="_Toc5810"/>
      <w:r>
        <w:rPr>
          <w:rFonts w:ascii="黑体" w:eastAsia="黑体" w:hAnsi="黑体" w:cs="宋体" w:hint="eastAsia"/>
          <w:bCs/>
          <w:kern w:val="0"/>
          <w:sz w:val="32"/>
          <w:szCs w:val="32"/>
        </w:rPr>
        <w:t>八、政府性基金预算收入支出决算情况说明</w:t>
      </w:r>
      <w:bookmarkEnd w:id="22"/>
      <w:bookmarkEnd w:id="23"/>
    </w:p>
    <w:p w:rsidR="008853A8" w:rsidRPr="008F7D99" w:rsidRDefault="00922FA7">
      <w:pPr>
        <w:ind w:firstLineChars="200" w:firstLine="640"/>
        <w:rPr>
          <w:rFonts w:ascii="仿宋_GB2312" w:eastAsia="仿宋_GB2312"/>
          <w:color w:val="000000" w:themeColor="text1"/>
          <w:sz w:val="32"/>
          <w:szCs w:val="32"/>
        </w:rPr>
      </w:pPr>
      <w:r>
        <w:rPr>
          <w:rFonts w:ascii="仿宋_GB2312" w:eastAsia="仿宋_GB2312" w:hAnsi="仿宋_GB2312" w:cs="仿宋_GB2312"/>
          <w:sz w:val="32"/>
        </w:rPr>
        <w:t>我单位本年度无政府性基金预算财政拨款收入支出，政府性基金预算财政拨款收入支出决算表为空表。</w:t>
      </w:r>
    </w:p>
    <w:p w:rsidR="008853A8" w:rsidRDefault="008853A8">
      <w:pPr>
        <w:ind w:firstLineChars="200" w:firstLine="640"/>
        <w:outlineLvl w:val="1"/>
        <w:rPr>
          <w:rFonts w:ascii="黑体" w:eastAsia="黑体" w:hAnsi="黑体" w:cs="宋体"/>
          <w:bCs/>
          <w:kern w:val="0"/>
          <w:sz w:val="32"/>
          <w:szCs w:val="32"/>
        </w:rPr>
      </w:pPr>
      <w:bookmarkStart w:id="24" w:name="_Toc7314"/>
      <w:bookmarkStart w:id="25" w:name="_Toc1235"/>
      <w:r>
        <w:rPr>
          <w:rFonts w:ascii="黑体" w:eastAsia="黑体" w:hAnsi="黑体" w:cs="宋体" w:hint="eastAsia"/>
          <w:bCs/>
          <w:kern w:val="0"/>
          <w:sz w:val="32"/>
          <w:szCs w:val="32"/>
        </w:rPr>
        <w:t>九、其他重要事项的情况说明</w:t>
      </w:r>
      <w:bookmarkEnd w:id="24"/>
      <w:bookmarkEnd w:id="25"/>
    </w:p>
    <w:p w:rsidR="008853A8" w:rsidRDefault="008853A8">
      <w:pPr>
        <w:ind w:firstLineChars="200" w:firstLine="640"/>
        <w:outlineLvl w:val="2"/>
        <w:rPr>
          <w:rFonts w:ascii="黑体" w:eastAsia="黑体" w:hAnsi="黑体"/>
          <w:sz w:val="32"/>
          <w:szCs w:val="32"/>
        </w:rPr>
      </w:pPr>
      <w:bookmarkStart w:id="26" w:name="_Toc13105"/>
      <w:bookmarkStart w:id="27" w:name="_Toc14519"/>
      <w:r>
        <w:rPr>
          <w:rFonts w:ascii="黑体" w:eastAsia="黑体" w:hAnsi="黑体" w:hint="eastAsia"/>
          <w:sz w:val="32"/>
          <w:szCs w:val="32"/>
        </w:rPr>
        <w:t>（一）机关运行经费支出情况</w:t>
      </w:r>
      <w:bookmarkEnd w:id="26"/>
      <w:bookmarkEnd w:id="27"/>
    </w:p>
    <w:p w:rsidR="00553FB5" w:rsidRDefault="00553FB5">
      <w:pPr>
        <w:ind w:firstLineChars="200" w:firstLine="640"/>
        <w:rPr>
          <w:rFonts w:ascii="仿宋_GB2312" w:eastAsia="仿宋_GB2312"/>
          <w:sz w:val="32"/>
          <w:szCs w:val="32"/>
        </w:rPr>
      </w:pPr>
      <w:r>
        <w:rPr>
          <w:rFonts w:ascii="仿宋_GB2312" w:eastAsia="仿宋_GB2312" w:hAnsi="仿宋_GB2312" w:cs="仿宋_GB2312"/>
          <w:sz w:val="32"/>
        </w:rPr>
        <w:t>新疆喀什地区质量技术监督局机关服务中心日常公用经费3.73万元，比上年增加1.11万元，增长42.37%，主要原因是2019年度增加资产条码打印设备购置费支出。</w:t>
      </w:r>
    </w:p>
    <w:p w:rsidR="008853A8" w:rsidRDefault="008853A8">
      <w:pPr>
        <w:ind w:firstLineChars="200" w:firstLine="640"/>
        <w:outlineLvl w:val="2"/>
        <w:rPr>
          <w:rFonts w:ascii="黑体" w:eastAsia="黑体" w:hAnsi="黑体"/>
          <w:sz w:val="32"/>
          <w:szCs w:val="32"/>
        </w:rPr>
      </w:pPr>
      <w:bookmarkStart w:id="28" w:name="_Toc26704"/>
      <w:bookmarkStart w:id="29" w:name="_Toc227"/>
      <w:r>
        <w:rPr>
          <w:rFonts w:ascii="黑体" w:eastAsia="黑体" w:hAnsi="黑体" w:hint="eastAsia"/>
          <w:sz w:val="32"/>
          <w:szCs w:val="32"/>
        </w:rPr>
        <w:lastRenderedPageBreak/>
        <w:t>（二）政府采购情况</w:t>
      </w:r>
      <w:bookmarkEnd w:id="28"/>
      <w:bookmarkEnd w:id="29"/>
    </w:p>
    <w:p w:rsidR="008853A8" w:rsidRDefault="002122DE">
      <w:pPr>
        <w:ind w:firstLineChars="200" w:firstLine="640"/>
        <w:rPr>
          <w:rFonts w:ascii="仿宋_GB2312" w:eastAsia="仿宋_GB2312"/>
          <w:sz w:val="32"/>
          <w:szCs w:val="32"/>
        </w:rPr>
      </w:pPr>
      <w:r>
        <w:rPr>
          <w:rFonts w:ascii="仿宋_GB2312" w:eastAsia="仿宋_GB2312" w:hAnsi="仿宋_GB2312" w:cs="仿宋_GB2312"/>
          <w:sz w:val="32"/>
        </w:rPr>
        <w:t>2019年度政府采购支出总额0万元，其中：政府采购货物支出0万元、政府采购工程支出0万元、政府采购服务支出0万元。</w:t>
      </w:r>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授予中小企业合同金额0万元，占政府采购支出总额的0%，其中：授予小微企业合同金额0万元，占政府采购支出总额的0%。</w:t>
      </w:r>
    </w:p>
    <w:p w:rsidR="008853A8" w:rsidRDefault="008853A8">
      <w:pPr>
        <w:ind w:firstLineChars="200" w:firstLine="640"/>
        <w:outlineLvl w:val="2"/>
        <w:rPr>
          <w:rFonts w:ascii="黑体" w:eastAsia="黑体" w:hAnsi="黑体"/>
          <w:sz w:val="32"/>
          <w:szCs w:val="32"/>
        </w:rPr>
      </w:pPr>
      <w:bookmarkStart w:id="30" w:name="_Toc4591"/>
      <w:bookmarkStart w:id="31" w:name="_Toc8391"/>
      <w:r>
        <w:rPr>
          <w:rFonts w:ascii="黑体" w:eastAsia="黑体" w:hAnsi="黑体" w:hint="eastAsia"/>
          <w:sz w:val="32"/>
          <w:szCs w:val="32"/>
        </w:rPr>
        <w:t>（三）国有资产占用情况说明</w:t>
      </w:r>
      <w:bookmarkEnd w:id="30"/>
      <w:bookmarkEnd w:id="31"/>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截止2019年12月31日，单位共有房屋0（平方米），价值0万元。车辆1辆，价值19.58万元，其中：副部（省）级及以上领导用车0辆、主要领导干部用车0辆、机要通信用车0辆、应急保障用车0辆、执法执勤用车0辆、特种专业技术用车0辆、离退休干部用车0辆、其他用车1辆，其他用车主要是：业务用车；单位价值50万元以上通用设备0台（套）、单位价值100万元以上专用设备0台（套）。</w:t>
      </w:r>
    </w:p>
    <w:p w:rsidR="008853A8" w:rsidRDefault="008853A8">
      <w:pPr>
        <w:ind w:firstLineChars="200" w:firstLine="640"/>
        <w:outlineLvl w:val="1"/>
        <w:rPr>
          <w:rFonts w:ascii="黑体" w:eastAsia="黑体" w:hAnsi="黑体" w:cs="宋体"/>
          <w:bCs/>
          <w:kern w:val="0"/>
          <w:sz w:val="32"/>
          <w:szCs w:val="32"/>
        </w:rPr>
      </w:pPr>
      <w:bookmarkStart w:id="32" w:name="_Toc435"/>
      <w:bookmarkStart w:id="33" w:name="_Toc11283"/>
      <w:r>
        <w:rPr>
          <w:rFonts w:ascii="黑体" w:eastAsia="黑体" w:hAnsi="黑体" w:cs="宋体" w:hint="eastAsia"/>
          <w:bCs/>
          <w:kern w:val="0"/>
          <w:sz w:val="32"/>
          <w:szCs w:val="32"/>
        </w:rPr>
        <w:t>十、预算绩效的情况说明</w:t>
      </w:r>
      <w:bookmarkEnd w:id="32"/>
      <w:bookmarkEnd w:id="33"/>
    </w:p>
    <w:p w:rsidR="008853A8" w:rsidRDefault="006E2EDD">
      <w:pPr>
        <w:ind w:firstLineChars="200" w:firstLine="640"/>
        <w:rPr>
          <w:rFonts w:ascii="仿宋_GB2312" w:eastAsia="仿宋_GB2312"/>
          <w:sz w:val="32"/>
          <w:szCs w:val="32"/>
        </w:rPr>
      </w:pPr>
      <w:r>
        <w:rPr>
          <w:rFonts w:ascii="仿宋_GB2312" w:eastAsia="仿宋_GB2312" w:hint="eastAsia"/>
          <w:sz w:val="32"/>
          <w:szCs w:val="32"/>
        </w:rPr>
        <w:t>根据预算绩效管理要求，我单位</w:t>
      </w:r>
      <w:r>
        <w:rPr>
          <w:rFonts w:ascii="仿宋_GB2312" w:eastAsia="仿宋_GB2312" w:hint="eastAsia"/>
          <w:sz w:val="32"/>
          <w:szCs w:val="32"/>
        </w:rPr>
        <w:t>2019</w:t>
      </w:r>
      <w:bookmarkStart w:id="34" w:name="_GoBack"/>
      <w:bookmarkEnd w:id="34"/>
      <w:r>
        <w:rPr>
          <w:rFonts w:ascii="仿宋_GB2312" w:eastAsia="仿宋_GB2312" w:hint="eastAsia"/>
          <w:sz w:val="32"/>
          <w:szCs w:val="32"/>
        </w:rPr>
        <w:t>年度开展预算绩效评价项目</w:t>
      </w:r>
      <w:r>
        <w:rPr>
          <w:rFonts w:ascii="仿宋_GB2312" w:eastAsia="仿宋_GB2312" w:hint="eastAsia"/>
          <w:sz w:val="32"/>
          <w:szCs w:val="32"/>
        </w:rPr>
        <w:t>0</w:t>
      </w:r>
      <w:r>
        <w:rPr>
          <w:rFonts w:ascii="仿宋_GB2312" w:eastAsia="仿宋_GB2312" w:hint="eastAsia"/>
          <w:sz w:val="32"/>
          <w:szCs w:val="32"/>
        </w:rPr>
        <w:t>个，共涉及资金</w:t>
      </w:r>
      <w:r>
        <w:rPr>
          <w:rFonts w:ascii="仿宋_GB2312" w:eastAsia="仿宋_GB2312" w:hint="eastAsia"/>
          <w:sz w:val="32"/>
          <w:szCs w:val="32"/>
        </w:rPr>
        <w:t>0</w:t>
      </w:r>
      <w:r>
        <w:rPr>
          <w:rFonts w:ascii="仿宋_GB2312" w:eastAsia="仿宋_GB2312" w:hint="eastAsia"/>
          <w:sz w:val="32"/>
          <w:szCs w:val="32"/>
        </w:rPr>
        <w:t>万元。预算绩效管理取得的成效：</w:t>
      </w:r>
      <w:r>
        <w:rPr>
          <w:rFonts w:ascii="仿宋_GB2312" w:eastAsia="仿宋_GB2312" w:hint="eastAsia"/>
          <w:sz w:val="32"/>
          <w:szCs w:val="32"/>
        </w:rPr>
        <w:t>无</w:t>
      </w:r>
      <w:r>
        <w:rPr>
          <w:rFonts w:ascii="仿宋_GB2312" w:eastAsia="仿宋_GB2312" w:hint="eastAsia"/>
          <w:sz w:val="32"/>
          <w:szCs w:val="32"/>
        </w:rPr>
        <w:t>。发现的问题及原因：无。下一步改进措施：无。</w:t>
      </w:r>
      <w:r w:rsidR="0095219B">
        <w:rPr>
          <w:rFonts w:ascii="仿宋_GB2312" w:eastAsia="仿宋_GB2312" w:hAnsi="仿宋_GB2312" w:cs="仿宋_GB2312"/>
          <w:sz w:val="32"/>
        </w:rPr>
        <w:t>本单位无有关预算绩效管理和绩效自评开展情况。</w:t>
      </w:r>
    </w:p>
    <w:p w:rsidR="008853A8" w:rsidRDefault="008853A8">
      <w:pPr>
        <w:ind w:firstLineChars="200" w:firstLine="640"/>
        <w:jc w:val="center"/>
        <w:outlineLvl w:val="0"/>
        <w:rPr>
          <w:rFonts w:ascii="黑体" w:eastAsia="黑体" w:hAnsi="黑体"/>
          <w:sz w:val="32"/>
          <w:szCs w:val="32"/>
        </w:rPr>
      </w:pPr>
      <w:bookmarkStart w:id="35" w:name="_Toc24143"/>
      <w:bookmarkStart w:id="36" w:name="_Toc3250"/>
      <w:r>
        <w:rPr>
          <w:rFonts w:ascii="黑体" w:eastAsia="黑体" w:hAnsi="黑体" w:hint="eastAsia"/>
          <w:sz w:val="32"/>
          <w:szCs w:val="32"/>
        </w:rPr>
        <w:t>第三部分 专业名词解释</w:t>
      </w:r>
      <w:bookmarkEnd w:id="35"/>
      <w:bookmarkEnd w:id="36"/>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lastRenderedPageBreak/>
        <w:t>上级补助收入：指事业单位从主管部门和上级单位取得的非财政补助收入。</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w:t>
      </w:r>
      <w:r>
        <w:rPr>
          <w:rFonts w:ascii="仿宋_GB2312" w:eastAsia="仿宋_GB2312" w:hint="eastAsia"/>
          <w:sz w:val="32"/>
          <w:szCs w:val="32"/>
        </w:rPr>
        <w:lastRenderedPageBreak/>
        <w:t>有关规定继续使用的资金，既包括财政拨款结转和结余，也包括事业收入、经营收入、其他收入的结转和结余。</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8853A8" w:rsidRDefault="008853A8">
      <w:pPr>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w:t>
      </w:r>
      <w:r>
        <w:rPr>
          <w:rFonts w:ascii="仿宋_GB2312" w:eastAsia="仿宋_GB2312" w:hint="eastAsia"/>
          <w:sz w:val="32"/>
          <w:szCs w:val="32"/>
        </w:rPr>
        <w:lastRenderedPageBreak/>
        <w:t>其他费用。</w:t>
      </w:r>
    </w:p>
    <w:p w:rsidR="008853A8" w:rsidRDefault="008853A8">
      <w:pPr>
        <w:ind w:firstLineChars="200" w:firstLine="640"/>
        <w:jc w:val="center"/>
        <w:outlineLvl w:val="0"/>
        <w:rPr>
          <w:rFonts w:ascii="黑体" w:eastAsia="黑体" w:hAnsi="黑体"/>
          <w:sz w:val="32"/>
          <w:szCs w:val="32"/>
        </w:rPr>
      </w:pPr>
      <w:bookmarkStart w:id="37" w:name="_Toc28903"/>
      <w:bookmarkStart w:id="38" w:name="_Toc22784"/>
      <w:r>
        <w:rPr>
          <w:rFonts w:ascii="黑体" w:eastAsia="黑体" w:hAnsi="黑体" w:hint="eastAsia"/>
          <w:sz w:val="32"/>
          <w:szCs w:val="32"/>
        </w:rPr>
        <w:t>第四部分 部门决算报表（见附表）</w:t>
      </w:r>
      <w:bookmarkEnd w:id="37"/>
      <w:bookmarkEnd w:id="38"/>
    </w:p>
    <w:p w:rsidR="008853A8" w:rsidRDefault="008853A8">
      <w:pPr>
        <w:ind w:firstLineChars="200" w:firstLine="640"/>
        <w:outlineLvl w:val="1"/>
        <w:rPr>
          <w:rFonts w:ascii="黑体" w:eastAsia="黑体" w:hAnsi="黑体" w:cs="宋体"/>
          <w:bCs/>
          <w:kern w:val="0"/>
          <w:sz w:val="32"/>
          <w:szCs w:val="32"/>
        </w:rPr>
      </w:pPr>
      <w:bookmarkStart w:id="39" w:name="_Toc6062"/>
      <w:bookmarkStart w:id="40" w:name="_Toc2183"/>
      <w:r>
        <w:rPr>
          <w:rFonts w:ascii="黑体" w:eastAsia="黑体" w:hAnsi="黑体" w:cs="宋体" w:hint="eastAsia"/>
          <w:bCs/>
          <w:kern w:val="0"/>
          <w:sz w:val="32"/>
          <w:szCs w:val="32"/>
        </w:rPr>
        <w:t>一、《收入支出决算总表》</w:t>
      </w:r>
      <w:bookmarkEnd w:id="39"/>
      <w:bookmarkEnd w:id="40"/>
    </w:p>
    <w:p w:rsidR="008853A8" w:rsidRDefault="008853A8">
      <w:pPr>
        <w:ind w:firstLineChars="200" w:firstLine="640"/>
        <w:outlineLvl w:val="1"/>
        <w:rPr>
          <w:rFonts w:ascii="黑体" w:eastAsia="黑体" w:hAnsi="黑体" w:cs="宋体"/>
          <w:bCs/>
          <w:kern w:val="0"/>
          <w:sz w:val="32"/>
          <w:szCs w:val="32"/>
        </w:rPr>
      </w:pPr>
      <w:bookmarkStart w:id="41" w:name="_Toc30364"/>
      <w:bookmarkStart w:id="42" w:name="_Toc24532"/>
      <w:r>
        <w:rPr>
          <w:rFonts w:ascii="黑体" w:eastAsia="黑体" w:hAnsi="黑体" w:cs="宋体" w:hint="eastAsia"/>
          <w:bCs/>
          <w:kern w:val="0"/>
          <w:sz w:val="32"/>
          <w:szCs w:val="32"/>
        </w:rPr>
        <w:t>二、《收入决算表》</w:t>
      </w:r>
      <w:bookmarkEnd w:id="41"/>
      <w:bookmarkEnd w:id="42"/>
    </w:p>
    <w:p w:rsidR="008853A8" w:rsidRDefault="008853A8">
      <w:pPr>
        <w:ind w:firstLineChars="200" w:firstLine="640"/>
        <w:outlineLvl w:val="1"/>
        <w:rPr>
          <w:rFonts w:ascii="黑体" w:eastAsia="黑体" w:hAnsi="黑体" w:cs="宋体"/>
          <w:bCs/>
          <w:kern w:val="0"/>
          <w:sz w:val="32"/>
          <w:szCs w:val="32"/>
        </w:rPr>
      </w:pPr>
      <w:bookmarkStart w:id="43" w:name="_Toc21304"/>
      <w:bookmarkStart w:id="44" w:name="_Toc32434"/>
      <w:r>
        <w:rPr>
          <w:rFonts w:ascii="黑体" w:eastAsia="黑体" w:hAnsi="黑体" w:cs="宋体" w:hint="eastAsia"/>
          <w:bCs/>
          <w:kern w:val="0"/>
          <w:sz w:val="32"/>
          <w:szCs w:val="32"/>
        </w:rPr>
        <w:t>三、《支出决算表》</w:t>
      </w:r>
      <w:bookmarkEnd w:id="43"/>
      <w:bookmarkEnd w:id="44"/>
    </w:p>
    <w:p w:rsidR="008853A8" w:rsidRDefault="008853A8">
      <w:pPr>
        <w:ind w:firstLineChars="200" w:firstLine="640"/>
        <w:outlineLvl w:val="1"/>
        <w:rPr>
          <w:rFonts w:ascii="黑体" w:eastAsia="黑体" w:hAnsi="黑体" w:cs="宋体"/>
          <w:bCs/>
          <w:kern w:val="0"/>
          <w:sz w:val="32"/>
          <w:szCs w:val="32"/>
        </w:rPr>
      </w:pPr>
      <w:bookmarkStart w:id="45" w:name="_Toc14238"/>
      <w:bookmarkStart w:id="46" w:name="_Toc28786"/>
      <w:r>
        <w:rPr>
          <w:rFonts w:ascii="黑体" w:eastAsia="黑体" w:hAnsi="黑体" w:cs="宋体" w:hint="eastAsia"/>
          <w:bCs/>
          <w:kern w:val="0"/>
          <w:sz w:val="32"/>
          <w:szCs w:val="32"/>
        </w:rPr>
        <w:t>四、《财政拨款收入支出决算总表》</w:t>
      </w:r>
      <w:bookmarkEnd w:id="45"/>
      <w:bookmarkEnd w:id="46"/>
    </w:p>
    <w:p w:rsidR="008853A8" w:rsidRDefault="008853A8">
      <w:pPr>
        <w:ind w:firstLineChars="200" w:firstLine="640"/>
        <w:outlineLvl w:val="1"/>
        <w:rPr>
          <w:rFonts w:ascii="黑体" w:eastAsia="黑体" w:hAnsi="黑体" w:cs="宋体"/>
          <w:bCs/>
          <w:kern w:val="0"/>
          <w:sz w:val="32"/>
          <w:szCs w:val="32"/>
        </w:rPr>
      </w:pPr>
      <w:bookmarkStart w:id="47" w:name="_Toc10347"/>
      <w:bookmarkStart w:id="48" w:name="_Toc14869"/>
      <w:r>
        <w:rPr>
          <w:rFonts w:ascii="黑体" w:eastAsia="黑体" w:hAnsi="黑体" w:cs="宋体" w:hint="eastAsia"/>
          <w:bCs/>
          <w:kern w:val="0"/>
          <w:sz w:val="32"/>
          <w:szCs w:val="32"/>
        </w:rPr>
        <w:t>五、《一般公共预算财政拨款支出决算表》</w:t>
      </w:r>
      <w:bookmarkEnd w:id="47"/>
      <w:bookmarkEnd w:id="48"/>
    </w:p>
    <w:p w:rsidR="008853A8" w:rsidRDefault="008853A8">
      <w:pPr>
        <w:ind w:firstLineChars="200" w:firstLine="640"/>
        <w:outlineLvl w:val="1"/>
        <w:rPr>
          <w:rFonts w:ascii="黑体" w:eastAsia="黑体" w:hAnsi="黑体" w:cs="宋体"/>
          <w:bCs/>
          <w:kern w:val="0"/>
          <w:sz w:val="32"/>
          <w:szCs w:val="32"/>
        </w:rPr>
      </w:pPr>
      <w:bookmarkStart w:id="49" w:name="_Toc5626"/>
      <w:bookmarkStart w:id="50" w:name="_Toc8884"/>
      <w:r>
        <w:rPr>
          <w:rFonts w:ascii="黑体" w:eastAsia="黑体" w:hAnsi="黑体" w:cs="宋体" w:hint="eastAsia"/>
          <w:bCs/>
          <w:kern w:val="0"/>
          <w:sz w:val="32"/>
          <w:szCs w:val="32"/>
        </w:rPr>
        <w:t>六、《一般公共预算财政拨款基本支出决算表》</w:t>
      </w:r>
      <w:bookmarkEnd w:id="49"/>
      <w:bookmarkEnd w:id="50"/>
    </w:p>
    <w:p w:rsidR="008853A8" w:rsidRDefault="008853A8">
      <w:pPr>
        <w:ind w:firstLineChars="200" w:firstLine="640"/>
        <w:outlineLvl w:val="1"/>
        <w:rPr>
          <w:rFonts w:ascii="黑体" w:eastAsia="黑体" w:hAnsi="黑体" w:cs="宋体"/>
          <w:bCs/>
          <w:kern w:val="0"/>
          <w:sz w:val="32"/>
          <w:szCs w:val="32"/>
        </w:rPr>
      </w:pPr>
      <w:bookmarkStart w:id="51" w:name="_Toc32663"/>
      <w:bookmarkStart w:id="52" w:name="_Toc29106"/>
      <w:r>
        <w:rPr>
          <w:rFonts w:ascii="黑体" w:eastAsia="黑体" w:hAnsi="黑体" w:cs="宋体" w:hint="eastAsia"/>
          <w:bCs/>
          <w:kern w:val="0"/>
          <w:sz w:val="32"/>
          <w:szCs w:val="32"/>
        </w:rPr>
        <w:t>七、《一般公共预算财政拨款“三公”经费支出决算表》</w:t>
      </w:r>
      <w:bookmarkEnd w:id="51"/>
      <w:bookmarkEnd w:id="52"/>
    </w:p>
    <w:p w:rsidR="008853A8" w:rsidRDefault="008853A8">
      <w:pPr>
        <w:ind w:firstLineChars="200" w:firstLine="640"/>
        <w:outlineLvl w:val="1"/>
        <w:rPr>
          <w:rFonts w:ascii="黑体" w:eastAsia="黑体" w:hAnsi="黑体" w:cs="宋体"/>
          <w:bCs/>
          <w:kern w:val="0"/>
          <w:sz w:val="32"/>
          <w:szCs w:val="32"/>
        </w:rPr>
      </w:pPr>
      <w:bookmarkStart w:id="53" w:name="_Toc5453"/>
      <w:bookmarkStart w:id="54" w:name="_Toc7643"/>
      <w:r>
        <w:rPr>
          <w:rFonts w:ascii="黑体" w:eastAsia="黑体" w:hAnsi="黑体" w:cs="宋体" w:hint="eastAsia"/>
          <w:bCs/>
          <w:kern w:val="0"/>
          <w:sz w:val="32"/>
          <w:szCs w:val="32"/>
        </w:rPr>
        <w:t>八、《政府性基金预算财政拨款收入支出决算表》</w:t>
      </w:r>
      <w:bookmarkEnd w:id="53"/>
      <w:bookmarkEnd w:id="54"/>
    </w:p>
    <w:sectPr w:rsidR="008853A8">
      <w:footerReference w:type="default" r:id="rId7"/>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5F06" w:rsidRDefault="008F5F06">
      <w:r>
        <w:separator/>
      </w:r>
    </w:p>
  </w:endnote>
  <w:endnote w:type="continuationSeparator" w:id="0">
    <w:p w:rsidR="008F5F06" w:rsidRDefault="008F5F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3A8" w:rsidRDefault="004F1D2D">
    <w:pPr>
      <w:pStyle w:val="a4"/>
    </w:pPr>
    <w:r>
      <w:rPr>
        <w:noProof/>
      </w:rPr>
      <mc:AlternateContent>
        <mc:Choice Requires="wps">
          <w:drawing>
            <wp:anchor distT="0" distB="0" distL="114300" distR="114300" simplePos="0" relativeHeight="251657728" behindDoc="0" locked="0" layoutInCell="1" allowOverlap="1" wp14:anchorId="5D818AEF" wp14:editId="432F0E00">
              <wp:simplePos x="0" y="0"/>
              <wp:positionH relativeFrom="margin">
                <wp:align>center</wp:align>
              </wp:positionH>
              <wp:positionV relativeFrom="paragraph">
                <wp:posOffset>0</wp:posOffset>
              </wp:positionV>
              <wp:extent cx="1828800" cy="1828800"/>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sidR="003905AB">
                            <w:rPr>
                              <w:noProof/>
                            </w:rPr>
                            <w:t>10</w:t>
                          </w:r>
                          <w:r>
                            <w:rPr>
                              <w:rFonts w:hint="eastAsia"/>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772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" filled="f" stroked="f">
              <v:textbox style="mso-fit-shape-to-text:t" inset="0,0,0,0">
                <w:txbxContent>
                  <w:p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sidR="003905AB">
                      <w:rPr>
                        <w:noProof/>
                      </w:rPr>
                      <w:t>10</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5F06" w:rsidRDefault="008F5F06">
      <w:r>
        <w:separator/>
      </w:r>
    </w:p>
  </w:footnote>
  <w:footnote w:type="continuationSeparator" w:id="0">
    <w:p w:rsidR="008F5F06" w:rsidRDefault="008F5F0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ocumentProtection w:edit="comments" w:enforcement="1" w:cryptProviderType="rsaFull" w:cryptAlgorithmClass="hash" w:cryptAlgorithmType="typeAny" w:cryptAlgorithmSid="4" w:cryptSpinCount="100000" w:hash="6u96ayBfM0yJ5MBOGZinn4ojc1Y=" w:salt="E7H2t2MkV88PCxdKPkz3qA=="/>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6E66"/>
    <w:rsid w:val="000033EF"/>
    <w:rsid w:val="00004533"/>
    <w:rsid w:val="00005A21"/>
    <w:rsid w:val="0004063C"/>
    <w:rsid w:val="000701A7"/>
    <w:rsid w:val="00082456"/>
    <w:rsid w:val="000A663A"/>
    <w:rsid w:val="000B5514"/>
    <w:rsid w:val="000B57B8"/>
    <w:rsid w:val="000B69AB"/>
    <w:rsid w:val="000F01B7"/>
    <w:rsid w:val="000F6705"/>
    <w:rsid w:val="001111D4"/>
    <w:rsid w:val="001128A8"/>
    <w:rsid w:val="001130AE"/>
    <w:rsid w:val="001237CF"/>
    <w:rsid w:val="00125A6F"/>
    <w:rsid w:val="0014029C"/>
    <w:rsid w:val="00144642"/>
    <w:rsid w:val="00146FA3"/>
    <w:rsid w:val="001573AA"/>
    <w:rsid w:val="00162E66"/>
    <w:rsid w:val="001826D1"/>
    <w:rsid w:val="001848EE"/>
    <w:rsid w:val="00186B3B"/>
    <w:rsid w:val="001C2D35"/>
    <w:rsid w:val="001C5BE8"/>
    <w:rsid w:val="001C6E66"/>
    <w:rsid w:val="001D3634"/>
    <w:rsid w:val="001D37EF"/>
    <w:rsid w:val="001E4D79"/>
    <w:rsid w:val="001F29A9"/>
    <w:rsid w:val="001F777A"/>
    <w:rsid w:val="002122DE"/>
    <w:rsid w:val="00227229"/>
    <w:rsid w:val="002328AF"/>
    <w:rsid w:val="00233021"/>
    <w:rsid w:val="0024217C"/>
    <w:rsid w:val="00243E6C"/>
    <w:rsid w:val="00246EBC"/>
    <w:rsid w:val="00265F92"/>
    <w:rsid w:val="00272845"/>
    <w:rsid w:val="00282550"/>
    <w:rsid w:val="00287829"/>
    <w:rsid w:val="0029171A"/>
    <w:rsid w:val="00292B7F"/>
    <w:rsid w:val="00292C0A"/>
    <w:rsid w:val="002B072F"/>
    <w:rsid w:val="002B37DA"/>
    <w:rsid w:val="002B7A04"/>
    <w:rsid w:val="002D187F"/>
    <w:rsid w:val="002F1732"/>
    <w:rsid w:val="003106FF"/>
    <w:rsid w:val="00327986"/>
    <w:rsid w:val="003314E6"/>
    <w:rsid w:val="00340AE7"/>
    <w:rsid w:val="00354737"/>
    <w:rsid w:val="0037159F"/>
    <w:rsid w:val="00377EC6"/>
    <w:rsid w:val="003905AB"/>
    <w:rsid w:val="003920B8"/>
    <w:rsid w:val="003A44F0"/>
    <w:rsid w:val="003C3EF4"/>
    <w:rsid w:val="003D1DD1"/>
    <w:rsid w:val="003E5F70"/>
    <w:rsid w:val="003F60E1"/>
    <w:rsid w:val="00400D8F"/>
    <w:rsid w:val="004161A5"/>
    <w:rsid w:val="00430E56"/>
    <w:rsid w:val="004318F5"/>
    <w:rsid w:val="00456820"/>
    <w:rsid w:val="00471387"/>
    <w:rsid w:val="00471BBD"/>
    <w:rsid w:val="0047268F"/>
    <w:rsid w:val="004A41CF"/>
    <w:rsid w:val="004A44C9"/>
    <w:rsid w:val="004B2E7F"/>
    <w:rsid w:val="004B3B3F"/>
    <w:rsid w:val="004D35C0"/>
    <w:rsid w:val="004E519F"/>
    <w:rsid w:val="004F1D2D"/>
    <w:rsid w:val="004F506B"/>
    <w:rsid w:val="00531503"/>
    <w:rsid w:val="00534ECA"/>
    <w:rsid w:val="005358C2"/>
    <w:rsid w:val="005474EB"/>
    <w:rsid w:val="005506DD"/>
    <w:rsid w:val="005529D0"/>
    <w:rsid w:val="00553FB5"/>
    <w:rsid w:val="00554A58"/>
    <w:rsid w:val="00560394"/>
    <w:rsid w:val="0056525F"/>
    <w:rsid w:val="005B1DE6"/>
    <w:rsid w:val="005C11EB"/>
    <w:rsid w:val="006032AE"/>
    <w:rsid w:val="00622F0B"/>
    <w:rsid w:val="00684E46"/>
    <w:rsid w:val="0068591E"/>
    <w:rsid w:val="00690F22"/>
    <w:rsid w:val="00693012"/>
    <w:rsid w:val="006B0B73"/>
    <w:rsid w:val="006D2B94"/>
    <w:rsid w:val="006D3853"/>
    <w:rsid w:val="006E0721"/>
    <w:rsid w:val="006E2EDD"/>
    <w:rsid w:val="0070295D"/>
    <w:rsid w:val="00725755"/>
    <w:rsid w:val="0075023C"/>
    <w:rsid w:val="00750D8A"/>
    <w:rsid w:val="00764051"/>
    <w:rsid w:val="00772611"/>
    <w:rsid w:val="007741F8"/>
    <w:rsid w:val="007B0022"/>
    <w:rsid w:val="007E2E4F"/>
    <w:rsid w:val="007E3BFD"/>
    <w:rsid w:val="00807B4B"/>
    <w:rsid w:val="008144CF"/>
    <w:rsid w:val="00822EED"/>
    <w:rsid w:val="00827663"/>
    <w:rsid w:val="00847CE1"/>
    <w:rsid w:val="00852D88"/>
    <w:rsid w:val="00857132"/>
    <w:rsid w:val="00862395"/>
    <w:rsid w:val="008853A8"/>
    <w:rsid w:val="00887778"/>
    <w:rsid w:val="008A54C1"/>
    <w:rsid w:val="008D5B57"/>
    <w:rsid w:val="008F5F06"/>
    <w:rsid w:val="008F7D99"/>
    <w:rsid w:val="0090080D"/>
    <w:rsid w:val="00922FA7"/>
    <w:rsid w:val="00927301"/>
    <w:rsid w:val="009351E1"/>
    <w:rsid w:val="0094423A"/>
    <w:rsid w:val="0095219B"/>
    <w:rsid w:val="00963E2E"/>
    <w:rsid w:val="009774AD"/>
    <w:rsid w:val="00980F6F"/>
    <w:rsid w:val="00993788"/>
    <w:rsid w:val="009A173F"/>
    <w:rsid w:val="009C479E"/>
    <w:rsid w:val="009F4245"/>
    <w:rsid w:val="009F594D"/>
    <w:rsid w:val="00A009B3"/>
    <w:rsid w:val="00A239E7"/>
    <w:rsid w:val="00A34EDA"/>
    <w:rsid w:val="00A77ECE"/>
    <w:rsid w:val="00AA13D0"/>
    <w:rsid w:val="00AC0B18"/>
    <w:rsid w:val="00AC1D87"/>
    <w:rsid w:val="00AC2605"/>
    <w:rsid w:val="00AE136F"/>
    <w:rsid w:val="00AE6C82"/>
    <w:rsid w:val="00AE7A56"/>
    <w:rsid w:val="00AF0871"/>
    <w:rsid w:val="00AF530E"/>
    <w:rsid w:val="00AF5DFE"/>
    <w:rsid w:val="00B006E5"/>
    <w:rsid w:val="00B24234"/>
    <w:rsid w:val="00B3219F"/>
    <w:rsid w:val="00B42062"/>
    <w:rsid w:val="00B64D13"/>
    <w:rsid w:val="00B76725"/>
    <w:rsid w:val="00BC38D2"/>
    <w:rsid w:val="00BC65E4"/>
    <w:rsid w:val="00BE0A9F"/>
    <w:rsid w:val="00BF4880"/>
    <w:rsid w:val="00C01003"/>
    <w:rsid w:val="00C2317E"/>
    <w:rsid w:val="00C87860"/>
    <w:rsid w:val="00C92609"/>
    <w:rsid w:val="00C974A0"/>
    <w:rsid w:val="00CA0969"/>
    <w:rsid w:val="00CB7A14"/>
    <w:rsid w:val="00CC66CE"/>
    <w:rsid w:val="00CD1E0A"/>
    <w:rsid w:val="00CE40E2"/>
    <w:rsid w:val="00CE4AEB"/>
    <w:rsid w:val="00CE74CB"/>
    <w:rsid w:val="00D00B68"/>
    <w:rsid w:val="00D04E19"/>
    <w:rsid w:val="00D6644C"/>
    <w:rsid w:val="00D71F68"/>
    <w:rsid w:val="00D767F4"/>
    <w:rsid w:val="00DA07A0"/>
    <w:rsid w:val="00DB4A9A"/>
    <w:rsid w:val="00DB6F81"/>
    <w:rsid w:val="00DD3B82"/>
    <w:rsid w:val="00E02851"/>
    <w:rsid w:val="00E43F43"/>
    <w:rsid w:val="00E76594"/>
    <w:rsid w:val="00EA656B"/>
    <w:rsid w:val="00EB1FF2"/>
    <w:rsid w:val="00EB42AF"/>
    <w:rsid w:val="00EB49C8"/>
    <w:rsid w:val="00EE3598"/>
    <w:rsid w:val="00EE791B"/>
    <w:rsid w:val="00EF3292"/>
    <w:rsid w:val="00F040C7"/>
    <w:rsid w:val="00F04DC0"/>
    <w:rsid w:val="00F24BA1"/>
    <w:rsid w:val="00F45607"/>
    <w:rsid w:val="00F552F7"/>
    <w:rsid w:val="00F57EE2"/>
    <w:rsid w:val="00F67C07"/>
    <w:rsid w:val="00F777E1"/>
    <w:rsid w:val="00F80266"/>
    <w:rsid w:val="00F83E19"/>
    <w:rsid w:val="00FB3828"/>
    <w:rsid w:val="00FC7A52"/>
    <w:rsid w:val="00FE0761"/>
    <w:rsid w:val="00FF5166"/>
    <w:rsid w:val="06792773"/>
    <w:rsid w:val="1DAF458D"/>
    <w:rsid w:val="2A053397"/>
    <w:rsid w:val="2D1136DF"/>
    <w:rsid w:val="31C63837"/>
    <w:rsid w:val="3D5275AC"/>
    <w:rsid w:val="46901EEE"/>
    <w:rsid w:val="469C74D2"/>
    <w:rsid w:val="50DB5F45"/>
    <w:rsid w:val="69AD798C"/>
    <w:rsid w:val="6B68175F"/>
    <w:rsid w:val="73FB6630"/>
    <w:rsid w:val="77ED6F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toc 2"/>
    <w:basedOn w:val="a"/>
    <w:next w:val="a"/>
    <w:pPr>
      <w:ind w:leftChars="200" w:left="420"/>
    </w:pPr>
  </w:style>
  <w:style w:type="paragraph" w:styleId="1">
    <w:name w:val="toc 1"/>
    <w:basedOn w:val="a"/>
    <w:next w:val="a"/>
  </w:style>
  <w:style w:type="paragraph" w:styleId="a3">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3">
    <w:name w:val="toc 3"/>
    <w:basedOn w:val="a"/>
    <w:next w:val="a"/>
    <w:pPr>
      <w:ind w:leftChars="400" w:left="840"/>
    </w:pPr>
  </w:style>
  <w:style w:type="paragraph" w:styleId="a4">
    <w:name w:val="footer"/>
    <w:basedOn w:val="a"/>
    <w:pPr>
      <w:tabs>
        <w:tab w:val="center" w:pos="4153"/>
        <w:tab w:val="right" w:pos="8306"/>
      </w:tabs>
      <w:snapToGrid w:val="0"/>
      <w:jc w:val="left"/>
    </w:pPr>
    <w:rPr>
      <w:sz w:val="18"/>
    </w:rPr>
  </w:style>
  <w:style w:type="paragraph" w:styleId="a5">
    <w:name w:val="annotation text"/>
    <w:basedOn w:val="a"/>
    <w:pPr>
      <w:jc w:val="left"/>
    </w:pPr>
  </w:style>
  <w:style w:type="paragraph" w:customStyle="1" w:styleId="WPSOffice3">
    <w:name w:val="WPSOffice手动目录 3"/>
    <w:pPr>
      <w:ind w:leftChars="400" w:left="400"/>
    </w:pPr>
  </w:style>
  <w:style w:type="paragraph" w:customStyle="1" w:styleId="WPSOffice2">
    <w:name w:val="WPSOffice手动目录 2"/>
    <w:pPr>
      <w:ind w:leftChars="200" w:left="200"/>
    </w:pPr>
  </w:style>
  <w:style w:type="paragraph" w:customStyle="1" w:styleId="WPSOffice1">
    <w:name w:val="WPSOffice手动目录 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toc 2"/>
    <w:basedOn w:val="a"/>
    <w:next w:val="a"/>
    <w:pPr>
      <w:ind w:leftChars="200" w:left="420"/>
    </w:pPr>
  </w:style>
  <w:style w:type="paragraph" w:styleId="1">
    <w:name w:val="toc 1"/>
    <w:basedOn w:val="a"/>
    <w:next w:val="a"/>
  </w:style>
  <w:style w:type="paragraph" w:styleId="a3">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3">
    <w:name w:val="toc 3"/>
    <w:basedOn w:val="a"/>
    <w:next w:val="a"/>
    <w:pPr>
      <w:ind w:leftChars="400" w:left="840"/>
    </w:pPr>
  </w:style>
  <w:style w:type="paragraph" w:styleId="a4">
    <w:name w:val="footer"/>
    <w:basedOn w:val="a"/>
    <w:pPr>
      <w:tabs>
        <w:tab w:val="center" w:pos="4153"/>
        <w:tab w:val="right" w:pos="8306"/>
      </w:tabs>
      <w:snapToGrid w:val="0"/>
      <w:jc w:val="left"/>
    </w:pPr>
    <w:rPr>
      <w:sz w:val="18"/>
    </w:rPr>
  </w:style>
  <w:style w:type="paragraph" w:styleId="a5">
    <w:name w:val="annotation text"/>
    <w:basedOn w:val="a"/>
    <w:pPr>
      <w:jc w:val="left"/>
    </w:pPr>
  </w:style>
  <w:style w:type="paragraph" w:customStyle="1" w:styleId="WPSOffice3">
    <w:name w:val="WPSOffice手动目录 3"/>
    <w:pPr>
      <w:ind w:leftChars="400" w:left="400"/>
    </w:pPr>
  </w:style>
  <w:style w:type="paragraph" w:customStyle="1" w:styleId="WPSOffice2">
    <w:name w:val="WPSOffice手动目录 2"/>
    <w:pPr>
      <w:ind w:leftChars="200" w:left="200"/>
    </w:pPr>
  </w:style>
  <w:style w:type="paragraph" w:customStyle="1" w:styleId="WPSOffice1">
    <w:name w:val="WPSOffice手动目录 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118674">
      <w:bodyDiv w:val="1"/>
      <w:marLeft w:val="0"/>
      <w:marRight w:val="0"/>
      <w:marTop w:val="0"/>
      <w:marBottom w:val="0"/>
      <w:divBdr>
        <w:top w:val="none" w:sz="0" w:space="0" w:color="auto"/>
        <w:left w:val="none" w:sz="0" w:space="0" w:color="auto"/>
        <w:bottom w:val="none" w:sz="0" w:space="0" w:color="auto"/>
        <w:right w:val="none" w:sz="0" w:space="0" w:color="auto"/>
      </w:divBdr>
    </w:div>
    <w:div w:id="497381100">
      <w:bodyDiv w:val="1"/>
      <w:marLeft w:val="0"/>
      <w:marRight w:val="0"/>
      <w:marTop w:val="0"/>
      <w:marBottom w:val="0"/>
      <w:divBdr>
        <w:top w:val="none" w:sz="0" w:space="0" w:color="auto"/>
        <w:left w:val="none" w:sz="0" w:space="0" w:color="auto"/>
        <w:bottom w:val="none" w:sz="0" w:space="0" w:color="auto"/>
        <w:right w:val="none" w:sz="0" w:space="0" w:color="auto"/>
      </w:divBdr>
    </w:div>
    <w:div w:id="726150857">
      <w:bodyDiv w:val="1"/>
      <w:marLeft w:val="0"/>
      <w:marRight w:val="0"/>
      <w:marTop w:val="0"/>
      <w:marBottom w:val="0"/>
      <w:divBdr>
        <w:top w:val="none" w:sz="0" w:space="0" w:color="auto"/>
        <w:left w:val="none" w:sz="0" w:space="0" w:color="auto"/>
        <w:bottom w:val="none" w:sz="0" w:space="0" w:color="auto"/>
        <w:right w:val="none" w:sz="0" w:space="0" w:color="auto"/>
      </w:divBdr>
    </w:div>
    <w:div w:id="1085761621">
      <w:bodyDiv w:val="1"/>
      <w:marLeft w:val="0"/>
      <w:marRight w:val="0"/>
      <w:marTop w:val="0"/>
      <w:marBottom w:val="0"/>
      <w:divBdr>
        <w:top w:val="none" w:sz="0" w:space="0" w:color="auto"/>
        <w:left w:val="none" w:sz="0" w:space="0" w:color="auto"/>
        <w:bottom w:val="none" w:sz="0" w:space="0" w:color="auto"/>
        <w:right w:val="none" w:sz="0" w:space="0" w:color="auto"/>
      </w:divBdr>
    </w:div>
    <w:div w:id="1572694809">
      <w:bodyDiv w:val="1"/>
      <w:marLeft w:val="0"/>
      <w:marRight w:val="0"/>
      <w:marTop w:val="0"/>
      <w:marBottom w:val="0"/>
      <w:divBdr>
        <w:top w:val="none" w:sz="0" w:space="0" w:color="auto"/>
        <w:left w:val="none" w:sz="0" w:space="0" w:color="auto"/>
        <w:bottom w:val="none" w:sz="0" w:space="0" w:color="auto"/>
        <w:right w:val="none" w:sz="0" w:space="0" w:color="auto"/>
      </w:divBdr>
    </w:div>
    <w:div w:id="1814247851">
      <w:bodyDiv w:val="1"/>
      <w:marLeft w:val="0"/>
      <w:marRight w:val="0"/>
      <w:marTop w:val="0"/>
      <w:marBottom w:val="0"/>
      <w:divBdr>
        <w:top w:val="none" w:sz="0" w:space="0" w:color="auto"/>
        <w:left w:val="none" w:sz="0" w:space="0" w:color="auto"/>
        <w:bottom w:val="none" w:sz="0" w:space="0" w:color="auto"/>
        <w:right w:val="none" w:sz="0" w:space="0" w:color="auto"/>
      </w:divBdr>
    </w:div>
    <w:div w:id="1847329340">
      <w:bodyDiv w:val="1"/>
      <w:marLeft w:val="0"/>
      <w:marRight w:val="0"/>
      <w:marTop w:val="0"/>
      <w:marBottom w:val="0"/>
      <w:divBdr>
        <w:top w:val="none" w:sz="0" w:space="0" w:color="auto"/>
        <w:left w:val="none" w:sz="0" w:space="0" w:color="auto"/>
        <w:bottom w:val="none" w:sz="0" w:space="0" w:color="auto"/>
        <w:right w:val="none" w:sz="0" w:space="0" w:color="auto"/>
      </w:divBdr>
    </w:div>
    <w:div w:id="1892300177">
      <w:bodyDiv w:val="1"/>
      <w:marLeft w:val="0"/>
      <w:marRight w:val="0"/>
      <w:marTop w:val="0"/>
      <w:marBottom w:val="0"/>
      <w:divBdr>
        <w:top w:val="none" w:sz="0" w:space="0" w:color="auto"/>
        <w:left w:val="none" w:sz="0" w:space="0" w:color="auto"/>
        <w:bottom w:val="none" w:sz="0" w:space="0" w:color="auto"/>
        <w:right w:val="none" w:sz="0" w:space="0" w:color="auto"/>
      </w:divBdr>
    </w:div>
    <w:div w:id="1919709360">
      <w:bodyDiv w:val="1"/>
      <w:marLeft w:val="0"/>
      <w:marRight w:val="0"/>
      <w:marTop w:val="0"/>
      <w:marBottom w:val="0"/>
      <w:divBdr>
        <w:top w:val="none" w:sz="0" w:space="0" w:color="auto"/>
        <w:left w:val="none" w:sz="0" w:space="0" w:color="auto"/>
        <w:bottom w:val="none" w:sz="0" w:space="0" w:color="auto"/>
        <w:right w:val="none" w:sz="0" w:space="0" w:color="auto"/>
      </w:divBdr>
    </w:div>
    <w:div w:id="2019891532">
      <w:bodyDiv w:val="1"/>
      <w:marLeft w:val="0"/>
      <w:marRight w:val="0"/>
      <w:marTop w:val="0"/>
      <w:marBottom w:val="0"/>
      <w:divBdr>
        <w:top w:val="none" w:sz="0" w:space="0" w:color="auto"/>
        <w:left w:val="none" w:sz="0" w:space="0" w:color="auto"/>
        <w:bottom w:val="none" w:sz="0" w:space="0" w:color="auto"/>
        <w:right w:val="none" w:sz="0" w:space="0" w:color="auto"/>
      </w:divBdr>
    </w:div>
    <w:div w:id="2102601509">
      <w:bodyDiv w:val="1"/>
      <w:marLeft w:val="0"/>
      <w:marRight w:val="0"/>
      <w:marTop w:val="0"/>
      <w:marBottom w:val="0"/>
      <w:divBdr>
        <w:top w:val="none" w:sz="0" w:space="0" w:color="auto"/>
        <w:left w:val="none" w:sz="0" w:space="0" w:color="auto"/>
        <w:bottom w:val="none" w:sz="0" w:space="0" w:color="auto"/>
        <w:right w:val="none" w:sz="0" w:space="0" w:color="auto"/>
      </w:divBdr>
    </w:div>
    <w:div w:id="2108193054">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12</Pages>
  <Words>816</Words>
  <Characters>4656</Characters>
  <Application>Microsoft Office Word</Application>
  <DocSecurity>8</DocSecurity>
  <Lines>38</Lines>
  <Paragraphs>10</Paragraphs>
  <ScaleCrop>false</ScaleCrop>
  <Company/>
  <LinksUpToDate>false</LinksUpToDate>
  <CharactersWithSpaces>5462</CharactersWithSpaces>
  <SharedDoc>false</SharedDoc>
  <HLinks>
    <vt:vector size="162" baseType="variant">
      <vt:variant>
        <vt:i4>1179699</vt:i4>
      </vt:variant>
      <vt:variant>
        <vt:i4>80</vt:i4>
      </vt:variant>
      <vt:variant>
        <vt:i4>0</vt:i4>
      </vt:variant>
      <vt:variant>
        <vt:i4>5</vt:i4>
      </vt:variant>
      <vt:variant>
        <vt:lpwstr/>
      </vt:variant>
      <vt:variant>
        <vt:lpwstr>_Toc7643</vt:lpwstr>
      </vt:variant>
      <vt:variant>
        <vt:i4>1966131</vt:i4>
      </vt:variant>
      <vt:variant>
        <vt:i4>77</vt:i4>
      </vt:variant>
      <vt:variant>
        <vt:i4>0</vt:i4>
      </vt:variant>
      <vt:variant>
        <vt:i4>5</vt:i4>
      </vt:variant>
      <vt:variant>
        <vt:lpwstr/>
      </vt:variant>
      <vt:variant>
        <vt:lpwstr>_Toc29106</vt:lpwstr>
      </vt:variant>
      <vt:variant>
        <vt:i4>1769520</vt:i4>
      </vt:variant>
      <vt:variant>
        <vt:i4>74</vt:i4>
      </vt:variant>
      <vt:variant>
        <vt:i4>0</vt:i4>
      </vt:variant>
      <vt:variant>
        <vt:i4>5</vt:i4>
      </vt:variant>
      <vt:variant>
        <vt:lpwstr/>
      </vt:variant>
      <vt:variant>
        <vt:lpwstr>_Toc8884</vt:lpwstr>
      </vt:variant>
      <vt:variant>
        <vt:i4>1376313</vt:i4>
      </vt:variant>
      <vt:variant>
        <vt:i4>71</vt:i4>
      </vt:variant>
      <vt:variant>
        <vt:i4>0</vt:i4>
      </vt:variant>
      <vt:variant>
        <vt:i4>5</vt:i4>
      </vt:variant>
      <vt:variant>
        <vt:lpwstr/>
      </vt:variant>
      <vt:variant>
        <vt:lpwstr>_Toc14869</vt:lpwstr>
      </vt:variant>
      <vt:variant>
        <vt:i4>1507381</vt:i4>
      </vt:variant>
      <vt:variant>
        <vt:i4>68</vt:i4>
      </vt:variant>
      <vt:variant>
        <vt:i4>0</vt:i4>
      </vt:variant>
      <vt:variant>
        <vt:i4>5</vt:i4>
      </vt:variant>
      <vt:variant>
        <vt:lpwstr/>
      </vt:variant>
      <vt:variant>
        <vt:lpwstr>_Toc28786</vt:lpwstr>
      </vt:variant>
      <vt:variant>
        <vt:i4>1441847</vt:i4>
      </vt:variant>
      <vt:variant>
        <vt:i4>65</vt:i4>
      </vt:variant>
      <vt:variant>
        <vt:i4>0</vt:i4>
      </vt:variant>
      <vt:variant>
        <vt:i4>5</vt:i4>
      </vt:variant>
      <vt:variant>
        <vt:lpwstr/>
      </vt:variant>
      <vt:variant>
        <vt:lpwstr>_Toc32434</vt:lpwstr>
      </vt:variant>
      <vt:variant>
        <vt:i4>1048631</vt:i4>
      </vt:variant>
      <vt:variant>
        <vt:i4>62</vt:i4>
      </vt:variant>
      <vt:variant>
        <vt:i4>0</vt:i4>
      </vt:variant>
      <vt:variant>
        <vt:i4>5</vt:i4>
      </vt:variant>
      <vt:variant>
        <vt:lpwstr/>
      </vt:variant>
      <vt:variant>
        <vt:lpwstr>_Toc24532</vt:lpwstr>
      </vt:variant>
      <vt:variant>
        <vt:i4>1376314</vt:i4>
      </vt:variant>
      <vt:variant>
        <vt:i4>59</vt:i4>
      </vt:variant>
      <vt:variant>
        <vt:i4>0</vt:i4>
      </vt:variant>
      <vt:variant>
        <vt:i4>5</vt:i4>
      </vt:variant>
      <vt:variant>
        <vt:lpwstr/>
      </vt:variant>
      <vt:variant>
        <vt:lpwstr>_Toc2183</vt:lpwstr>
      </vt:variant>
      <vt:variant>
        <vt:i4>1900597</vt:i4>
      </vt:variant>
      <vt:variant>
        <vt:i4>56</vt:i4>
      </vt:variant>
      <vt:variant>
        <vt:i4>0</vt:i4>
      </vt:variant>
      <vt:variant>
        <vt:i4>5</vt:i4>
      </vt:variant>
      <vt:variant>
        <vt:lpwstr/>
      </vt:variant>
      <vt:variant>
        <vt:lpwstr>_Toc22784</vt:lpwstr>
      </vt:variant>
      <vt:variant>
        <vt:i4>1376310</vt:i4>
      </vt:variant>
      <vt:variant>
        <vt:i4>53</vt:i4>
      </vt:variant>
      <vt:variant>
        <vt:i4>0</vt:i4>
      </vt:variant>
      <vt:variant>
        <vt:i4>5</vt:i4>
      </vt:variant>
      <vt:variant>
        <vt:lpwstr/>
      </vt:variant>
      <vt:variant>
        <vt:lpwstr>_Toc3250</vt:lpwstr>
      </vt:variant>
      <vt:variant>
        <vt:i4>1966131</vt:i4>
      </vt:variant>
      <vt:variant>
        <vt:i4>50</vt:i4>
      </vt:variant>
      <vt:variant>
        <vt:i4>0</vt:i4>
      </vt:variant>
      <vt:variant>
        <vt:i4>5</vt:i4>
      </vt:variant>
      <vt:variant>
        <vt:lpwstr/>
      </vt:variant>
      <vt:variant>
        <vt:lpwstr>_Toc11283</vt:lpwstr>
      </vt:variant>
      <vt:variant>
        <vt:i4>1376305</vt:i4>
      </vt:variant>
      <vt:variant>
        <vt:i4>47</vt:i4>
      </vt:variant>
      <vt:variant>
        <vt:i4>0</vt:i4>
      </vt:variant>
      <vt:variant>
        <vt:i4>5</vt:i4>
      </vt:variant>
      <vt:variant>
        <vt:lpwstr/>
      </vt:variant>
      <vt:variant>
        <vt:lpwstr>_Toc8391</vt:lpwstr>
      </vt:variant>
      <vt:variant>
        <vt:i4>2424834</vt:i4>
      </vt:variant>
      <vt:variant>
        <vt:i4>44</vt:i4>
      </vt:variant>
      <vt:variant>
        <vt:i4>0</vt:i4>
      </vt:variant>
      <vt:variant>
        <vt:i4>5</vt:i4>
      </vt:variant>
      <vt:variant>
        <vt:lpwstr/>
      </vt:variant>
      <vt:variant>
        <vt:lpwstr>_Toc227</vt:lpwstr>
      </vt:variant>
      <vt:variant>
        <vt:i4>1179700</vt:i4>
      </vt:variant>
      <vt:variant>
        <vt:i4>41</vt:i4>
      </vt:variant>
      <vt:variant>
        <vt:i4>0</vt:i4>
      </vt:variant>
      <vt:variant>
        <vt:i4>5</vt:i4>
      </vt:variant>
      <vt:variant>
        <vt:lpwstr/>
      </vt:variant>
      <vt:variant>
        <vt:lpwstr>_Toc14519</vt:lpwstr>
      </vt:variant>
      <vt:variant>
        <vt:i4>1048626</vt:i4>
      </vt:variant>
      <vt:variant>
        <vt:i4>38</vt:i4>
      </vt:variant>
      <vt:variant>
        <vt:i4>0</vt:i4>
      </vt:variant>
      <vt:variant>
        <vt:i4>5</vt:i4>
      </vt:variant>
      <vt:variant>
        <vt:lpwstr/>
      </vt:variant>
      <vt:variant>
        <vt:lpwstr>_Toc1235</vt:lpwstr>
      </vt:variant>
      <vt:variant>
        <vt:i4>2031668</vt:i4>
      </vt:variant>
      <vt:variant>
        <vt:i4>35</vt:i4>
      </vt:variant>
      <vt:variant>
        <vt:i4>0</vt:i4>
      </vt:variant>
      <vt:variant>
        <vt:i4>5</vt:i4>
      </vt:variant>
      <vt:variant>
        <vt:lpwstr/>
      </vt:variant>
      <vt:variant>
        <vt:lpwstr>_Toc5810</vt:lpwstr>
      </vt:variant>
      <vt:variant>
        <vt:i4>1507383</vt:i4>
      </vt:variant>
      <vt:variant>
        <vt:i4>32</vt:i4>
      </vt:variant>
      <vt:variant>
        <vt:i4>0</vt:i4>
      </vt:variant>
      <vt:variant>
        <vt:i4>5</vt:i4>
      </vt:variant>
      <vt:variant>
        <vt:lpwstr/>
      </vt:variant>
      <vt:variant>
        <vt:lpwstr>_Toc21518</vt:lpwstr>
      </vt:variant>
      <vt:variant>
        <vt:i4>1048635</vt:i4>
      </vt:variant>
      <vt:variant>
        <vt:i4>29</vt:i4>
      </vt:variant>
      <vt:variant>
        <vt:i4>0</vt:i4>
      </vt:variant>
      <vt:variant>
        <vt:i4>5</vt:i4>
      </vt:variant>
      <vt:variant>
        <vt:lpwstr/>
      </vt:variant>
      <vt:variant>
        <vt:lpwstr>_Toc30870</vt:lpwstr>
      </vt:variant>
      <vt:variant>
        <vt:i4>1114161</vt:i4>
      </vt:variant>
      <vt:variant>
        <vt:i4>26</vt:i4>
      </vt:variant>
      <vt:variant>
        <vt:i4>0</vt:i4>
      </vt:variant>
      <vt:variant>
        <vt:i4>5</vt:i4>
      </vt:variant>
      <vt:variant>
        <vt:lpwstr/>
      </vt:variant>
      <vt:variant>
        <vt:lpwstr>_Toc20360</vt:lpwstr>
      </vt:variant>
      <vt:variant>
        <vt:i4>1507383</vt:i4>
      </vt:variant>
      <vt:variant>
        <vt:i4>23</vt:i4>
      </vt:variant>
      <vt:variant>
        <vt:i4>0</vt:i4>
      </vt:variant>
      <vt:variant>
        <vt:i4>5</vt:i4>
      </vt:variant>
      <vt:variant>
        <vt:lpwstr/>
      </vt:variant>
      <vt:variant>
        <vt:lpwstr>_Toc26564</vt:lpwstr>
      </vt:variant>
      <vt:variant>
        <vt:i4>1310771</vt:i4>
      </vt:variant>
      <vt:variant>
        <vt:i4>20</vt:i4>
      </vt:variant>
      <vt:variant>
        <vt:i4>0</vt:i4>
      </vt:variant>
      <vt:variant>
        <vt:i4>5</vt:i4>
      </vt:variant>
      <vt:variant>
        <vt:lpwstr/>
      </vt:variant>
      <vt:variant>
        <vt:lpwstr>_Toc13201</vt:lpwstr>
      </vt:variant>
      <vt:variant>
        <vt:i4>1114160</vt:i4>
      </vt:variant>
      <vt:variant>
        <vt:i4>17</vt:i4>
      </vt:variant>
      <vt:variant>
        <vt:i4>0</vt:i4>
      </vt:variant>
      <vt:variant>
        <vt:i4>5</vt:i4>
      </vt:variant>
      <vt:variant>
        <vt:lpwstr/>
      </vt:variant>
      <vt:variant>
        <vt:lpwstr>_Toc12142</vt:lpwstr>
      </vt:variant>
      <vt:variant>
        <vt:i4>1245233</vt:i4>
      </vt:variant>
      <vt:variant>
        <vt:i4>14</vt:i4>
      </vt:variant>
      <vt:variant>
        <vt:i4>0</vt:i4>
      </vt:variant>
      <vt:variant>
        <vt:i4>5</vt:i4>
      </vt:variant>
      <vt:variant>
        <vt:lpwstr/>
      </vt:variant>
      <vt:variant>
        <vt:lpwstr>_Toc25314</vt:lpwstr>
      </vt:variant>
      <vt:variant>
        <vt:i4>1638449</vt:i4>
      </vt:variant>
      <vt:variant>
        <vt:i4>11</vt:i4>
      </vt:variant>
      <vt:variant>
        <vt:i4>0</vt:i4>
      </vt:variant>
      <vt:variant>
        <vt:i4>5</vt:i4>
      </vt:variant>
      <vt:variant>
        <vt:lpwstr/>
      </vt:variant>
      <vt:variant>
        <vt:lpwstr>_Toc29374</vt:lpwstr>
      </vt:variant>
      <vt:variant>
        <vt:i4>1507383</vt:i4>
      </vt:variant>
      <vt:variant>
        <vt:i4>8</vt:i4>
      </vt:variant>
      <vt:variant>
        <vt:i4>0</vt:i4>
      </vt:variant>
      <vt:variant>
        <vt:i4>5</vt:i4>
      </vt:variant>
      <vt:variant>
        <vt:lpwstr/>
      </vt:variant>
      <vt:variant>
        <vt:lpwstr>_Toc2151</vt:lpwstr>
      </vt:variant>
      <vt:variant>
        <vt:i4>1114166</vt:i4>
      </vt:variant>
      <vt:variant>
        <vt:i4>5</vt:i4>
      </vt:variant>
      <vt:variant>
        <vt:i4>0</vt:i4>
      </vt:variant>
      <vt:variant>
        <vt:i4>5</vt:i4>
      </vt:variant>
      <vt:variant>
        <vt:lpwstr/>
      </vt:variant>
      <vt:variant>
        <vt:lpwstr>_Toc30567</vt:lpwstr>
      </vt:variant>
      <vt:variant>
        <vt:i4>1310768</vt:i4>
      </vt:variant>
      <vt:variant>
        <vt:i4>2</vt:i4>
      </vt:variant>
      <vt:variant>
        <vt:i4>0</vt:i4>
      </vt:variant>
      <vt:variant>
        <vt:i4>5</vt:i4>
      </vt:variant>
      <vt:variant>
        <vt:lpwstr/>
      </vt:variant>
      <vt:variant>
        <vt:lpwstr>_Toc32314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喀地财库-任雯</cp:lastModifiedBy>
  <cp:revision>10</cp:revision>
  <dcterms:created xsi:type="dcterms:W3CDTF">2020-09-08T14:04:00Z</dcterms:created>
  <dcterms:modified xsi:type="dcterms:W3CDTF">2020-09-30T11:32:00Z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