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新疆喀什地区国有资产监督管理委员会2019年度部门决算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1、依法履行国有资产出资人职责，维护所有者的权益，依法对企业国有资产进行监督管理。2、负责对国有企业党的建设、思想政治工作。3、承办地委、行署交办的其他事项。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新疆喀什地区国有资产监督管理委员会2019年度，实有人数29人，其中：在职人员16人，离休人员0人，退休人员13人。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从部门决算单位构成看，新疆喀什地区国有资产监督管理委员会部门决算包括：新疆喀什地区国有资产监督管理委员会决算。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626.16万元，与上年相比，减少659.82万元，下降51.31%，主要原因是：1、2019年比上年减少项目支出，包括行署采购办前期经费、喀什机场建设项目、米兰大厦移交资产遗留经费项目。2、2019年因机构改革减少2名行政编制人员。本年支出626.16万元，与上年相比，减少659.82万元，下降51.31%，主要原因是：1、2019年比上年减少项目支出，包括行署采购办前期经费、喀什机场建设项目、米兰大厦移交资产遗留经费项目。2、2019年因机构改革减少2名行政编制人员。</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2019年度本年收入626.16万元，其中：财政拨款收入626.16万元，占100%；上级补助收入0万元，占0%；事业收入0万元，占0%；经营收入0万元，占0%；附属单位上缴收入0万元，占0%；其他收入0万元，占0%。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2019年度本年支出626.16万元，其中：基本支出342.01万元，占54.62%；项目支出284.15万元，占45.38%；上缴上级支出0万元，占0%；经营支出0万元，占0%；对附属单位补助支出0万元，占0%。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626.16万元，与上年相比，减少659.82万元，下降51.31%，主要原因是：1、2019年比上年减少项目支出，包括行署采购办前期经费、喀什机场建设项目、米兰大厦移交资产遗留经费项目。2、2019年因机构改革减少2名行政编制人员。财政拨款支出626.16万元，与上年相比，减少659.82万元，下降51.31%，主要原因是：1、2019年比上年减少项目支出，包括行署采购办前期经费、喀什机场建设项目、米兰大厦移交资产遗留经费项目。2、2019年因机构改革减少2名行政编制人员。</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390.56万元，决算数626.16万元，预决算差异率60.32%，主要原因是：年中下达上级转移支付专项工作经费，且人员工资正常晋升等，均不在年初预算中。因此本年决算收入大幅度增加。财政拨款支出年初预算数390.56万元，决算数626.16万元，预决算差异率60.32%，主要原因是：年中下达上级转移支付专项工作经费，且人员工资正常晋升等，均不在年初预算中。因此本年决算收入大幅度增加。</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2019年度一般公共预算财政拨款支出626.16万元。按功能分类科目项级科目公开，其中：</w:t>
      </w:r>
    </w:p>
    <w:p>
      <w:pPr>
        <w:ind w:firstLine="480"/>
        <w:jc w:val="both"/>
      </w:pPr>
      <w:r>
        <w:rPr>
          <w:rFonts w:ascii="仿宋_GB2312" w:hAnsi="仿宋_GB2312" w:eastAsia="仿宋_GB2312" w:cs="仿宋_GB2312"/>
          <w:b w:val="0"/>
          <w:sz w:val="32"/>
        </w:rPr>
        <w:t xml:space="preserve">   2050201学前教育支出3.12万元；</w:t>
      </w:r>
    </w:p>
    <w:p>
      <w:pPr>
        <w:ind w:firstLine="480"/>
        <w:jc w:val="both"/>
      </w:pPr>
      <w:r>
        <w:rPr>
          <w:rFonts w:ascii="仿宋_GB2312" w:hAnsi="仿宋_GB2312" w:eastAsia="仿宋_GB2312" w:cs="仿宋_GB2312"/>
          <w:b w:val="0"/>
          <w:sz w:val="32"/>
        </w:rPr>
        <w:t xml:space="preserve">   2080505机关事业单位基本养老保险缴费支出25.95万元；</w:t>
      </w:r>
    </w:p>
    <w:p>
      <w:pPr>
        <w:ind w:firstLine="480"/>
        <w:jc w:val="both"/>
      </w:pPr>
      <w:r>
        <w:rPr>
          <w:rFonts w:ascii="仿宋_GB2312" w:hAnsi="仿宋_GB2312" w:eastAsia="仿宋_GB2312" w:cs="仿宋_GB2312"/>
          <w:b w:val="0"/>
          <w:sz w:val="32"/>
        </w:rPr>
        <w:t xml:space="preserve">   2080506机关事业单位职业年金缴费支出14.79万元；</w:t>
      </w:r>
    </w:p>
    <w:p>
      <w:pPr>
        <w:ind w:firstLine="480"/>
        <w:jc w:val="both"/>
      </w:pPr>
      <w:r>
        <w:rPr>
          <w:rFonts w:ascii="仿宋_GB2312" w:hAnsi="仿宋_GB2312" w:eastAsia="仿宋_GB2312" w:cs="仿宋_GB2312"/>
          <w:b w:val="0"/>
          <w:sz w:val="32"/>
        </w:rPr>
        <w:t xml:space="preserve">   2080699其他企业改革发展补助支出213.45万元；</w:t>
      </w:r>
    </w:p>
    <w:p>
      <w:pPr>
        <w:ind w:firstLine="480"/>
        <w:jc w:val="both"/>
      </w:pPr>
      <w:r>
        <w:rPr>
          <w:rFonts w:ascii="仿宋_GB2312" w:hAnsi="仿宋_GB2312" w:eastAsia="仿宋_GB2312" w:cs="仿宋_GB2312"/>
          <w:b w:val="0"/>
          <w:sz w:val="32"/>
        </w:rPr>
        <w:t xml:space="preserve">   2150701行政运行支出278.13万元；</w:t>
      </w:r>
    </w:p>
    <w:p>
      <w:pPr>
        <w:ind w:firstLine="480"/>
        <w:jc w:val="both"/>
      </w:pPr>
      <w:r>
        <w:rPr>
          <w:rFonts w:ascii="仿宋_GB2312" w:hAnsi="仿宋_GB2312" w:eastAsia="仿宋_GB2312" w:cs="仿宋_GB2312"/>
          <w:b w:val="0"/>
          <w:sz w:val="32"/>
        </w:rPr>
        <w:t xml:space="preserve">   2150702一般行政管理事务支出11.02万元；</w:t>
      </w:r>
    </w:p>
    <w:p>
      <w:pPr>
        <w:ind w:firstLine="480"/>
        <w:jc w:val="both"/>
      </w:pPr>
      <w:r>
        <w:rPr>
          <w:rFonts w:ascii="仿宋_GB2312" w:hAnsi="仿宋_GB2312" w:eastAsia="仿宋_GB2312" w:cs="仿宋_GB2312"/>
          <w:b w:val="0"/>
          <w:sz w:val="32"/>
        </w:rPr>
        <w:t xml:space="preserve">   2150799其他国有资产监管支出42.68万元；</w:t>
      </w:r>
    </w:p>
    <w:p>
      <w:pPr>
        <w:ind w:firstLine="480"/>
        <w:jc w:val="both"/>
      </w:pPr>
      <w:r>
        <w:rPr>
          <w:rFonts w:ascii="仿宋_GB2312" w:hAnsi="仿宋_GB2312" w:eastAsia="仿宋_GB2312" w:cs="仿宋_GB2312"/>
          <w:b w:val="0"/>
          <w:sz w:val="32"/>
        </w:rPr>
        <w:t xml:space="preserve">   2210201住房公积金支出20.02万元；</w:t>
      </w:r>
    </w:p>
    <w:p>
      <w:pPr>
        <w:ind w:firstLine="480"/>
        <w:jc w:val="both"/>
      </w:pPr>
      <w:r>
        <w:rPr>
          <w:rFonts w:ascii="仿宋_GB2312" w:hAnsi="仿宋_GB2312" w:eastAsia="仿宋_GB2312" w:cs="仿宋_GB2312"/>
          <w:b w:val="0"/>
          <w:sz w:val="32"/>
        </w:rPr>
        <w:t xml:space="preserve">   2299901其他支出17万元。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2019年度一般公共预算财政拨款基本支出342.01万元，其中：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333.23万元，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公用经费8.78万元，包括：办公费</w:t>
      </w:r>
      <w:bookmarkStart w:id="54" w:name="_GoBack"/>
      <w:bookmarkEnd w:id="54"/>
      <w:r>
        <w:rPr>
          <w:rFonts w:ascii="仿宋_GB2312" w:hAnsi="仿宋_GB2312" w:eastAsia="仿宋_GB2312" w:cs="仿宋_GB2312"/>
          <w:sz w:val="32"/>
        </w:rPr>
        <w:t>、咨询费、手续费、水费、电费、邮电费、差旅费、公务用车运行维护费、其他交通费用、其他商品和服务支出</w:t>
      </w:r>
      <w:r>
        <w:rPr>
          <w:rFonts w:hint="eastAsia" w:ascii="仿宋_GB2312" w:hAnsi="仿宋_GB2312" w:eastAsia="仿宋_GB2312" w:cs="仿宋_GB2312"/>
          <w:sz w:val="32"/>
          <w:lang w:eastAsia="zh-CN"/>
        </w:rPr>
        <w:t>、办公设备购置</w:t>
      </w:r>
      <w:r>
        <w:rPr>
          <w:rFonts w:ascii="仿宋_GB2312" w:hAnsi="仿宋_GB2312" w:eastAsia="仿宋_GB2312" w:cs="仿宋_GB2312"/>
          <w:sz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1.80万元，比上年增加0万元，增长0%，主要原因是与上年相比无变动。其中，因公出国（境）费支出0万元，占0%，比上年增加0万元，增长0%，主要原因是与上年相比无变动；公务用车购置及运行维护费支出1.80万元，占100%，比上年增加0万元，增长0%，主要原因是与上年相比无变动；公务接待费支出0万元，占0%，比上年增加0万元，增长0%，主要原因是与上年相比无变动。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公务用车购置及运行维护费1.80万元，其中，公务用车购置费0万元，公务用车运行维护费1.80万元。公务用车运行维护费开支内容包括汽车油料、维护费、过路费。公务用车购置数0辆，公务用车保有量1辆。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1.80万元，决算数1.80万元，预决算差异率0%，主要原因是：预决算相比无变动。其中：因公出国（境）费预算数0万元，决算数0万元，预决算差异率0%，主要原因是：预算未安排，无此项支出；公务用车购置费预算数0万元，决算数0万元，预决算差异率0%，主要原因是：预算未安排，无此项支出；公务用车运行费预算数1.80万元，决算数1.80万元，预决算差异率0%，主要原因是：预决算相比无变动；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2019年度新疆喀什地区国有资产监督管理委员会机关运行经费支出8.78万元，比上年增加2.13万元，增长32.03%，主要原因是日常公用经费增加、物业费增加。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2019年度政府采购支出总额1.42万元，其中：政府采购货物支出0.98万元、政府采购工程支出0万元、政府采购服务支出0.44万元。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授予中小企业合同金额1.42万元，占政府采购支出总额的100%，其中：授予小微企业合同金额1.42万元，占政府采购支出总额的100%。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0（平方米），价值0万元。车辆1辆，价值22.99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9个，共涉及资金284.15万元。预算绩效管理取得的成效：一是部门年度任务在预算资金额度内完成，并通过规范的招投标及严格的资金管理及项目管理及其他创新的管理措施实现了资金的节约。三公经费在预算范围内开支，开支范围较上年的变动，有节约；二是各项工作计划按预期计划按时完成，效益按预期时间产生；三是预期的经济效益、社会效益、可持续的影响产生，相关人员的满意度。发现的问题及原因：一是通过预算绩效管理，发现了工作中存在的不足，如前期资金使用因上半年资金支出方面因地区预算批复原因，指标下达较晚，导致了资金滞缓，影响了项目的进度，造成了部分资金的浪费。下一步改进措施：一是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hkBJBIvBSjm8A7hsDnjAUQmkGmw=" w:salt="QiDRP7bwFRLy7VNwKFjW8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2324251"/>
    <w:rsid w:val="06792773"/>
    <w:rsid w:val="1DAF458D"/>
    <w:rsid w:val="20371588"/>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1031</Words>
  <Characters>5882</Characters>
  <Lines>49</Lines>
  <Paragraphs>13</Paragraphs>
  <TotalTime>10</TotalTime>
  <ScaleCrop>false</ScaleCrop>
  <LinksUpToDate>false</LinksUpToDate>
  <CharactersWithSpaces>6900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2021-07-11T05:55:07Z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