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highlight w:val="none"/>
        </w:rPr>
      </w:pPr>
      <w:bookmarkStart w:id="0" w:name="_GoBack"/>
      <w:bookmarkEnd w:id="0"/>
    </w:p>
    <w:p>
      <w:pPr>
        <w:spacing w:line="540" w:lineRule="exact"/>
        <w:jc w:val="center"/>
        <w:rPr>
          <w:rFonts w:ascii="仿宋" w:hAnsi="仿宋" w:eastAsia="仿宋" w:cs="宋体"/>
          <w:kern w:val="0"/>
          <w:sz w:val="32"/>
          <w:szCs w:val="3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方正小标宋_GBK" w:hAnsi="华文中宋" w:eastAsia="方正小标宋_GBK" w:cs="宋体"/>
          <w:b/>
          <w:kern w:val="0"/>
          <w:sz w:val="48"/>
          <w:szCs w:val="48"/>
          <w:highlight w:val="none"/>
        </w:rPr>
      </w:pPr>
      <w:r>
        <w:rPr>
          <w:rFonts w:hint="eastAsia" w:ascii="方正小标宋_GBK" w:hAnsi="华文中宋" w:eastAsia="方正小标宋_GBK" w:cs="宋体"/>
          <w:b/>
          <w:kern w:val="0"/>
          <w:sz w:val="48"/>
          <w:szCs w:val="48"/>
          <w:highlight w:val="none"/>
        </w:rPr>
        <w:t>喀什地区项目支出绩效自评报告</w:t>
      </w: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hAnsi="宋体" w:eastAsia="仿宋_GB2312" w:cs="宋体"/>
          <w:kern w:val="0"/>
          <w:sz w:val="36"/>
          <w:szCs w:val="36"/>
          <w:highlight w:val="none"/>
        </w:rPr>
      </w:pPr>
      <w:r>
        <w:rPr>
          <w:rFonts w:hint="eastAsia" w:hAnsi="宋体" w:eastAsia="仿宋_GB2312" w:cs="宋体"/>
          <w:kern w:val="0"/>
          <w:sz w:val="36"/>
          <w:szCs w:val="36"/>
          <w:highlight w:val="none"/>
        </w:rPr>
        <w:t>（</w:t>
      </w:r>
      <w:r>
        <w:rPr>
          <w:rFonts w:hint="eastAsia" w:hAnsi="宋体" w:eastAsia="仿宋_GB2312" w:cs="宋体"/>
          <w:kern w:val="0"/>
          <w:sz w:val="36"/>
          <w:szCs w:val="36"/>
          <w:highlight w:val="none"/>
          <w:lang w:val="en-US" w:eastAsia="zh-CN"/>
        </w:rPr>
        <w:t>2019</w:t>
      </w:r>
      <w:r>
        <w:rPr>
          <w:rFonts w:hint="eastAsia" w:hAnsi="宋体" w:eastAsia="仿宋_GB2312" w:cs="宋体"/>
          <w:kern w:val="0"/>
          <w:sz w:val="36"/>
          <w:szCs w:val="36"/>
          <w:highlight w:val="none"/>
        </w:rPr>
        <w:t>年度）</w:t>
      </w:r>
    </w:p>
    <w:p>
      <w:pPr>
        <w:spacing w:line="540" w:lineRule="exact"/>
        <w:jc w:val="center"/>
        <w:rPr>
          <w:rFonts w:hAnsi="宋体" w:eastAsia="仿宋_GB2312" w:cs="宋体"/>
          <w:kern w:val="0"/>
          <w:sz w:val="30"/>
          <w:szCs w:val="30"/>
          <w:highlight w:val="none"/>
        </w:rPr>
      </w:pPr>
    </w:p>
    <w:p>
      <w:pPr>
        <w:spacing w:line="540" w:lineRule="exact"/>
        <w:jc w:val="center"/>
        <w:rPr>
          <w:rFonts w:hAnsi="宋体" w:eastAsia="仿宋_GB2312" w:cs="宋体"/>
          <w:kern w:val="0"/>
          <w:sz w:val="30"/>
          <w:szCs w:val="30"/>
          <w:highlight w:val="none"/>
        </w:rPr>
      </w:pPr>
    </w:p>
    <w:p>
      <w:pPr>
        <w:spacing w:line="540" w:lineRule="exact"/>
        <w:rPr>
          <w:rFonts w:hAnsi="宋体" w:eastAsia="仿宋_GB2312" w:cs="宋体"/>
          <w:kern w:val="0"/>
          <w:sz w:val="30"/>
          <w:szCs w:val="30"/>
          <w:highlight w:val="none"/>
        </w:rPr>
      </w:pPr>
    </w:p>
    <w:p>
      <w:pPr>
        <w:spacing w:line="540" w:lineRule="exact"/>
        <w:rPr>
          <w:rFonts w:hAnsi="宋体" w:eastAsia="仿宋_GB2312" w:cs="宋体"/>
          <w:kern w:val="0"/>
          <w:sz w:val="30"/>
          <w:szCs w:val="30"/>
          <w:highlight w:val="none"/>
        </w:rPr>
      </w:pPr>
    </w:p>
    <w:p>
      <w:pPr>
        <w:spacing w:line="700" w:lineRule="exact"/>
        <w:jc w:val="left"/>
        <w:rPr>
          <w:rFonts w:hAnsi="宋体" w:eastAsia="仿宋_GB2312" w:cs="宋体"/>
          <w:kern w:val="0"/>
          <w:sz w:val="36"/>
          <w:szCs w:val="36"/>
          <w:highlight w:val="none"/>
        </w:rPr>
      </w:pPr>
      <w:r>
        <w:rPr>
          <w:rFonts w:hint="eastAsia" w:hAnsi="宋体" w:eastAsia="仿宋_GB2312" w:cs="宋体"/>
          <w:kern w:val="0"/>
          <w:sz w:val="36"/>
          <w:szCs w:val="36"/>
          <w:highlight w:val="none"/>
        </w:rPr>
        <w:t xml:space="preserve">     项目名称：</w:t>
      </w:r>
      <w:r>
        <w:rPr>
          <w:rFonts w:hint="eastAsia" w:ascii="仿宋" w:hAnsi="仿宋" w:eastAsia="仿宋" w:cs="仿宋"/>
          <w:kern w:val="0"/>
          <w:sz w:val="36"/>
          <w:szCs w:val="36"/>
          <w:lang w:eastAsia="zh-CN"/>
        </w:rPr>
        <w:t>自治区国有企业改革成本项目</w:t>
      </w:r>
      <w:r>
        <w:rPr>
          <w:rFonts w:hint="eastAsia" w:ascii="仿宋" w:hAnsi="仿宋" w:eastAsia="仿宋" w:cs="仿宋"/>
          <w:kern w:val="0"/>
          <w:sz w:val="36"/>
          <w:szCs w:val="36"/>
        </w:rPr>
        <w:t xml:space="preserve">  </w:t>
      </w:r>
    </w:p>
    <w:p>
      <w:pPr>
        <w:spacing w:line="700" w:lineRule="exact"/>
        <w:jc w:val="left"/>
        <w:rPr>
          <w:rFonts w:hAnsi="宋体" w:eastAsia="仿宋_GB2312" w:cs="宋体"/>
          <w:kern w:val="0"/>
          <w:sz w:val="36"/>
          <w:szCs w:val="36"/>
          <w:highlight w:val="none"/>
        </w:rPr>
      </w:pPr>
      <w:r>
        <w:rPr>
          <w:rFonts w:hint="eastAsia" w:hAnsi="宋体" w:eastAsia="仿宋_GB2312" w:cs="宋体"/>
          <w:kern w:val="0"/>
          <w:sz w:val="36"/>
          <w:szCs w:val="36"/>
          <w:highlight w:val="none"/>
        </w:rPr>
        <w:t xml:space="preserve">     实施单位（公章）：喀什地区国有资产监督管理委员会</w:t>
      </w:r>
    </w:p>
    <w:p>
      <w:pPr>
        <w:spacing w:line="700" w:lineRule="exact"/>
        <w:ind w:firstLine="720" w:firstLineChars="200"/>
        <w:jc w:val="left"/>
        <w:rPr>
          <w:rFonts w:hAnsi="宋体" w:eastAsia="仿宋_GB2312" w:cs="宋体"/>
          <w:kern w:val="0"/>
          <w:sz w:val="36"/>
          <w:szCs w:val="36"/>
          <w:highlight w:val="none"/>
        </w:rPr>
      </w:pPr>
      <w:r>
        <w:rPr>
          <w:rFonts w:hint="eastAsia" w:hAnsi="宋体" w:eastAsia="仿宋_GB2312" w:cs="宋体"/>
          <w:kern w:val="0"/>
          <w:sz w:val="36"/>
          <w:szCs w:val="36"/>
          <w:highlight w:val="none"/>
        </w:rPr>
        <w:t>主管部门（公章）：喀什地区国有资产监督管理委员会</w:t>
      </w:r>
    </w:p>
    <w:p>
      <w:pPr>
        <w:spacing w:line="700" w:lineRule="exact"/>
        <w:ind w:firstLine="849" w:firstLineChars="236"/>
        <w:jc w:val="left"/>
        <w:rPr>
          <w:rFonts w:hAnsi="宋体" w:eastAsia="仿宋_GB2312" w:cs="宋体"/>
          <w:kern w:val="0"/>
          <w:sz w:val="36"/>
          <w:szCs w:val="36"/>
          <w:highlight w:val="none"/>
        </w:rPr>
      </w:pPr>
    </w:p>
    <w:p>
      <w:pPr>
        <w:spacing w:line="700" w:lineRule="exact"/>
        <w:ind w:firstLine="849" w:firstLineChars="236"/>
        <w:jc w:val="left"/>
        <w:rPr>
          <w:rFonts w:hint="eastAsia" w:hAnsi="宋体" w:eastAsia="仿宋_GB2312" w:cs="宋体"/>
          <w:kern w:val="0"/>
          <w:sz w:val="36"/>
          <w:szCs w:val="36"/>
          <w:highlight w:val="none"/>
          <w:lang w:val="en-US" w:eastAsia="zh-CN"/>
        </w:rPr>
      </w:pPr>
      <w:r>
        <w:rPr>
          <w:rFonts w:hint="eastAsia" w:hAnsi="宋体" w:eastAsia="仿宋_GB2312" w:cs="宋体"/>
          <w:kern w:val="0"/>
          <w:sz w:val="36"/>
          <w:szCs w:val="36"/>
          <w:highlight w:val="none"/>
        </w:rPr>
        <w:t>项目负责人（签章）：</w:t>
      </w:r>
      <w:r>
        <w:rPr>
          <w:rFonts w:hint="eastAsia" w:hAnsi="宋体" w:eastAsia="仿宋_GB2312" w:cs="宋体"/>
          <w:kern w:val="0"/>
          <w:sz w:val="36"/>
          <w:szCs w:val="36"/>
          <w:highlight w:val="none"/>
          <w:lang w:eastAsia="zh-CN"/>
        </w:rPr>
        <w:t>刘仕宁</w:t>
      </w:r>
    </w:p>
    <w:p>
      <w:pPr>
        <w:spacing w:line="700" w:lineRule="exact"/>
        <w:ind w:firstLine="849" w:firstLineChars="236"/>
        <w:jc w:val="left"/>
        <w:rPr>
          <w:rFonts w:hAnsi="宋体" w:eastAsia="仿宋_GB2312" w:cs="宋体"/>
          <w:kern w:val="0"/>
          <w:sz w:val="36"/>
          <w:szCs w:val="36"/>
          <w:highlight w:val="none"/>
        </w:rPr>
      </w:pPr>
      <w:r>
        <w:rPr>
          <w:rFonts w:hint="eastAsia" w:hAnsi="宋体" w:eastAsia="仿宋_GB2312" w:cs="宋体"/>
          <w:kern w:val="0"/>
          <w:sz w:val="36"/>
          <w:szCs w:val="36"/>
          <w:highlight w:val="none"/>
        </w:rPr>
        <w:t xml:space="preserve">填报时间：  </w:t>
      </w:r>
      <w:r>
        <w:rPr>
          <w:rFonts w:hint="eastAsia" w:hAnsi="宋体" w:eastAsia="仿宋_GB2312" w:cs="宋体"/>
          <w:kern w:val="0"/>
          <w:sz w:val="36"/>
          <w:szCs w:val="36"/>
          <w:highlight w:val="none"/>
          <w:lang w:val="en-US" w:eastAsia="zh-CN"/>
        </w:rPr>
        <w:t>2020</w:t>
      </w:r>
      <w:r>
        <w:rPr>
          <w:rFonts w:hint="eastAsia" w:hAnsi="宋体" w:eastAsia="仿宋_GB2312" w:cs="宋体"/>
          <w:kern w:val="0"/>
          <w:sz w:val="36"/>
          <w:szCs w:val="36"/>
          <w:highlight w:val="none"/>
        </w:rPr>
        <w:t>年</w:t>
      </w:r>
      <w:r>
        <w:rPr>
          <w:rFonts w:hint="eastAsia" w:hAnsi="宋体" w:eastAsia="仿宋_GB2312" w:cs="宋体"/>
          <w:kern w:val="0"/>
          <w:sz w:val="36"/>
          <w:szCs w:val="36"/>
          <w:highlight w:val="none"/>
          <w:lang w:val="en-US" w:eastAsia="zh-CN"/>
        </w:rPr>
        <w:t>4</w:t>
      </w:r>
      <w:r>
        <w:rPr>
          <w:rFonts w:hint="eastAsia" w:hAnsi="宋体" w:eastAsia="仿宋_GB2312" w:cs="宋体"/>
          <w:kern w:val="0"/>
          <w:sz w:val="36"/>
          <w:szCs w:val="36"/>
          <w:highlight w:val="none"/>
        </w:rPr>
        <w:t>月</w:t>
      </w:r>
    </w:p>
    <w:p>
      <w:pPr>
        <w:spacing w:line="540" w:lineRule="exact"/>
        <w:ind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一、项目概况</w:t>
      </w:r>
    </w:p>
    <w:p>
      <w:pPr>
        <w:spacing w:line="540" w:lineRule="exact"/>
        <w:ind w:firstLine="567"/>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（一）项目单位基本情况</w:t>
      </w:r>
    </w:p>
    <w:p>
      <w:pPr>
        <w:pStyle w:val="47"/>
        <w:keepNext w:val="0"/>
        <w:keepLines w:val="0"/>
        <w:pageBreakBefore w:val="0"/>
        <w:kinsoku/>
        <w:wordWrap/>
        <w:overflowPunct/>
        <w:topLinePunct w:val="0"/>
        <w:autoSpaceDE/>
        <w:autoSpaceDN/>
        <w:bidi w:val="0"/>
        <w:spacing w:line="560" w:lineRule="atLeast"/>
        <w:ind w:firstLine="640" w:firstLineChars="200"/>
        <w:jc w:val="both"/>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根据自治区党委办公厅、自治区人民政府办公厅《关于印发喀什地区行政公署机构改革方案的通知》（新党厅字[2011]55号），设立喀什地区国有资产监督管理委员会（以下简称地区国有资产监督管理委员会），为喀什地区行政公署工作部门。一、主要职责（一）依法履行国有资产出资人职责，维护所有者的权益；依法对企业国有资产进行监督管理；对国有资产的保值增值情况进行监管，健全和完善国有资产保值增值指标体系；对地直国有企业、国有控股企业、国有资产进行管理；推进所监管企业的现代企业制度建设，完善公司法人治理结构；推进国有经济结构和布局的战略性调整；负责管理和盘活破产企业的资产。（二）负责对企业党的建设、思想政治工作。（三）通过法定程序对自治区、地区党委授权管理的企业领导人员进行任免、考核、奖惩；建立符合现代企业制度要求的选人、用人机制，完善经营者激励和约束制度。（四）通过统计、稽核等方式对所监管企业国有资产的保值增值指标体系，拟定考核标准；维护国有资产出资人的权益。（五）研究制订地区国有资产总体发展规划；指导推进国有企业改革和重组。负责企业国有资产流失查处和产权纠纷调处工作。（六）代表行署向部分区属重点国有企业派出监事会，负责监事会日常管理。（七）依法对县、市的国有资产监督管理工作进行指导和监督。 （八）承办地委、行署交办的其他事项。</w:t>
      </w:r>
    </w:p>
    <w:p>
      <w:pPr>
        <w:pStyle w:val="47"/>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地区国有资产监督管理委员会设4个内设机构（行政办公室、企业党务工作科、产权管理科、统计监督科）。地区国有资产监督管理委员会编制人数15人，其中：行政人员编制13人，工勤编制2人；实有在职人数16人，其中：行政在职14人，工勤在职人数 2人。</w:t>
      </w:r>
    </w:p>
    <w:p>
      <w:pPr>
        <w:spacing w:line="540" w:lineRule="exact"/>
        <w:ind w:firstLine="567" w:firstLineChars="181"/>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（二）项目预算</w:t>
      </w:r>
      <w:r>
        <w:rPr>
          <w:rStyle w:val="19"/>
          <w:rFonts w:ascii="楷体" w:hAnsi="楷体" w:eastAsia="楷体"/>
          <w:spacing w:val="-4"/>
          <w:sz w:val="32"/>
          <w:szCs w:val="32"/>
          <w:highlight w:val="none"/>
        </w:rPr>
        <w:t>绩效目标</w:t>
      </w:r>
      <w:r>
        <w:rPr>
          <w:rStyle w:val="19"/>
          <w:rFonts w:hint="eastAsia" w:ascii="楷体" w:hAnsi="楷体" w:eastAsia="楷体"/>
          <w:spacing w:val="-4"/>
          <w:sz w:val="32"/>
          <w:szCs w:val="32"/>
          <w:highlight w:val="none"/>
        </w:rPr>
        <w:t>设定情况</w:t>
      </w:r>
    </w:p>
    <w:p>
      <w:pPr>
        <w:keepNext w:val="0"/>
        <w:keepLines w:val="0"/>
        <w:pageBreakBefore w:val="0"/>
        <w:numPr>
          <w:ilvl w:val="0"/>
          <w:numId w:val="0"/>
        </w:numPr>
        <w:kinsoku/>
        <w:wordWrap/>
        <w:overflowPunct/>
        <w:topLinePunct w:val="0"/>
        <w:autoSpaceDE/>
        <w:autoSpaceDN/>
        <w:bidi w:val="0"/>
        <w:spacing w:line="560" w:lineRule="exact"/>
        <w:ind w:firstLine="627" w:firstLineChars="200"/>
        <w:jc w:val="both"/>
        <w:textAlignment w:val="auto"/>
        <w:rPr>
          <w:rFonts w:hint="eastAsia"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1、项目预期目标及阶段性目标</w:t>
      </w:r>
    </w:p>
    <w:p>
      <w:pPr>
        <w:pStyle w:val="47"/>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项目预期目标：对自治区区属国有破产、改制企业新疆六建公司、新疆道路桥梁工程总公司喀什分公司离退休职工医疗保险、活动费、取暖费等三项费予以财政补贴，保障了自治区关闭破产企业离退休职工的生活，保障社会大局。</w:t>
      </w:r>
    </w:p>
    <w:p>
      <w:pPr>
        <w:pStyle w:val="47"/>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阶段性目标:每个月按时发放项目资金，并要求企业上报资金使用情况和相关资料和台帐，监督企业充分利用项目资金，保障离退休职工日常生活及相关权利。</w:t>
      </w:r>
    </w:p>
    <w:p>
      <w:pPr>
        <w:keepNext w:val="0"/>
        <w:keepLines w:val="0"/>
        <w:pageBreakBefore w:val="0"/>
        <w:kinsoku/>
        <w:wordWrap/>
        <w:overflowPunct/>
        <w:topLinePunct w:val="0"/>
        <w:autoSpaceDE/>
        <w:autoSpaceDN/>
        <w:bidi w:val="0"/>
        <w:adjustRightInd w:val="0"/>
        <w:snapToGrid w:val="0"/>
        <w:spacing w:line="560" w:lineRule="exact"/>
        <w:ind w:firstLine="627" w:firstLineChars="200"/>
        <w:jc w:val="both"/>
        <w:textAlignment w:val="auto"/>
        <w:rPr>
          <w:rFonts w:hint="eastAsia"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2、项目基本性质</w:t>
      </w:r>
    </w:p>
    <w:p>
      <w:pPr>
        <w:keepNext w:val="0"/>
        <w:keepLines w:val="0"/>
        <w:pageBreakBefore w:val="0"/>
        <w:kinsoku/>
        <w:wordWrap/>
        <w:overflowPunct/>
        <w:topLinePunct w:val="0"/>
        <w:autoSpaceDE/>
        <w:autoSpaceDN/>
        <w:bidi w:val="0"/>
        <w:spacing w:line="560" w:lineRule="atLeast"/>
        <w:ind w:firstLine="624" w:firstLineChars="200"/>
        <w:jc w:val="both"/>
        <w:textAlignment w:val="auto"/>
        <w:outlineLvl w:val="9"/>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本项目为延续性项目。</w:t>
      </w:r>
    </w:p>
    <w:p>
      <w:pPr>
        <w:keepNext w:val="0"/>
        <w:keepLines w:val="0"/>
        <w:pageBreakBefore w:val="0"/>
        <w:kinsoku/>
        <w:wordWrap/>
        <w:overflowPunct/>
        <w:topLinePunct w:val="0"/>
        <w:autoSpaceDE/>
        <w:autoSpaceDN/>
        <w:bidi w:val="0"/>
        <w:adjustRightInd w:val="0"/>
        <w:snapToGrid w:val="0"/>
        <w:spacing w:line="560" w:lineRule="exact"/>
        <w:ind w:firstLine="627" w:firstLineChars="200"/>
        <w:jc w:val="both"/>
        <w:textAlignment w:val="auto"/>
        <w:rPr>
          <w:rFonts w:hint="eastAsia"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3、项目用途及范围</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bCs/>
          <w:color w:val="000000" w:themeColor="text1"/>
          <w:spacing w:val="-4"/>
          <w:sz w:val="32"/>
          <w:szCs w:val="32"/>
          <w:highlight w:val="none"/>
          <w14:textFill>
            <w14:solidFill>
              <w14:schemeClr w14:val="tx1"/>
            </w14:solidFill>
          </w14:textFill>
        </w:rPr>
        <w:t>根据</w:t>
      </w:r>
      <w:r>
        <w:rPr>
          <w:rFonts w:hint="eastAsia" w:ascii="仿宋" w:hAnsi="仿宋" w:eastAsia="仿宋"/>
          <w:bCs/>
          <w:color w:val="000000" w:themeColor="text1"/>
          <w:spacing w:val="-4"/>
          <w:sz w:val="32"/>
          <w:szCs w:val="32"/>
          <w:highlight w:val="none"/>
          <w:lang w:eastAsia="zh-CN"/>
          <w14:textFill>
            <w14:solidFill>
              <w14:schemeClr w14:val="tx1"/>
            </w14:solidFill>
          </w14:textFill>
        </w:rPr>
        <w:t>新财企〔2018〕156号</w:t>
      </w:r>
      <w:r>
        <w:rPr>
          <w:rFonts w:hint="eastAsia" w:ascii="仿宋" w:hAnsi="仿宋" w:eastAsia="仿宋"/>
          <w:bCs/>
          <w:color w:val="000000" w:themeColor="text1"/>
          <w:spacing w:val="-4"/>
          <w:sz w:val="32"/>
          <w:szCs w:val="32"/>
          <w:highlight w:val="none"/>
          <w14:textFill>
            <w14:solidFill>
              <w14:schemeClr w14:val="tx1"/>
            </w14:solidFill>
          </w14:textFill>
        </w:rPr>
        <w:t>文件要求，</w:t>
      </w:r>
      <w:r>
        <w:rPr>
          <w:rFonts w:hint="eastAsia" w:ascii="仿宋" w:hAnsi="仿宋" w:eastAsia="仿宋" w:cs="Times New Roman"/>
          <w:bCs/>
          <w:spacing w:val="-4"/>
          <w:kern w:val="2"/>
          <w:sz w:val="32"/>
          <w:szCs w:val="32"/>
          <w:shd w:val="clear" w:color="auto" w:fill="auto"/>
          <w:lang w:val="en-US" w:eastAsia="zh-CN"/>
        </w:rPr>
        <w:t>自治区国有企业改革成本项目支出，主要用于对自治区区属国有破产、改制企业新疆六建公司、新疆道路桥梁工程总公司喀什分公司离退休职工医疗保险、活动费、取暖费等三项费予以财政补贴，保障了自治区关闭破产企业离退休职工的生活，保障社会大局。</w:t>
      </w:r>
    </w:p>
    <w:p>
      <w:pPr>
        <w:spacing w:line="540" w:lineRule="exact"/>
        <w:ind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二、项目资金使用及管理情况</w:t>
      </w:r>
    </w:p>
    <w:p>
      <w:pPr>
        <w:spacing w:line="540" w:lineRule="exact"/>
        <w:ind w:firstLine="567" w:firstLineChars="181"/>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（一）项目资金安排落实、总投入等情况分析</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bCs/>
          <w:color w:val="000000" w:themeColor="text1"/>
          <w:spacing w:val="-4"/>
          <w:sz w:val="32"/>
          <w:szCs w:val="32"/>
          <w:highlight w:val="none"/>
          <w14:textFill>
            <w14:solidFill>
              <w14:schemeClr w14:val="tx1"/>
            </w14:solidFill>
          </w14:textFill>
        </w:rPr>
        <w:t>根据</w:t>
      </w:r>
      <w:r>
        <w:rPr>
          <w:rFonts w:hint="eastAsia" w:ascii="仿宋" w:hAnsi="仿宋" w:eastAsia="仿宋"/>
          <w:bCs/>
          <w:color w:val="000000" w:themeColor="text1"/>
          <w:spacing w:val="-4"/>
          <w:sz w:val="32"/>
          <w:szCs w:val="32"/>
          <w:highlight w:val="none"/>
          <w:lang w:eastAsia="zh-CN"/>
          <w14:textFill>
            <w14:solidFill>
              <w14:schemeClr w14:val="tx1"/>
            </w14:solidFill>
          </w14:textFill>
        </w:rPr>
        <w:t>新财企〔2018〕156号</w:t>
      </w:r>
      <w:r>
        <w:rPr>
          <w:rFonts w:hint="eastAsia" w:ascii="仿宋" w:hAnsi="仿宋" w:eastAsia="仿宋"/>
          <w:bCs/>
          <w:color w:val="000000" w:themeColor="text1"/>
          <w:spacing w:val="-4"/>
          <w:sz w:val="32"/>
          <w:szCs w:val="32"/>
          <w:highlight w:val="none"/>
          <w14:textFill>
            <w14:solidFill>
              <w14:schemeClr w14:val="tx1"/>
            </w14:solidFill>
          </w14:textFill>
        </w:rPr>
        <w:t>文件要求，</w:t>
      </w:r>
      <w:r>
        <w:rPr>
          <w:rFonts w:hint="eastAsia" w:ascii="仿宋" w:hAnsi="仿宋" w:eastAsia="仿宋" w:cs="Times New Roman"/>
          <w:bCs/>
          <w:spacing w:val="-4"/>
          <w:kern w:val="2"/>
          <w:sz w:val="32"/>
          <w:szCs w:val="32"/>
          <w:highlight w:val="none"/>
          <w:shd w:val="clear" w:color="auto" w:fill="auto"/>
          <w:lang w:val="en-US" w:eastAsia="zh-CN"/>
        </w:rPr>
        <w:t>自治区</w:t>
      </w:r>
      <w:r>
        <w:rPr>
          <w:rFonts w:hint="eastAsia" w:ascii="仿宋" w:hAnsi="仿宋" w:eastAsia="仿宋" w:cs="Times New Roman"/>
          <w:bCs/>
          <w:spacing w:val="-4"/>
          <w:kern w:val="2"/>
          <w:sz w:val="32"/>
          <w:szCs w:val="32"/>
          <w:shd w:val="clear" w:color="auto" w:fill="auto"/>
          <w:lang w:val="en-US" w:eastAsia="zh-CN"/>
        </w:rPr>
        <w:t>国有企业改革成本项目预算安排总额为238.6万元，其中财政资金238.6万元，其他资金0万元，2019年实际收到预算资金238.6万元，预算资金到位率为100%。</w:t>
      </w:r>
    </w:p>
    <w:p>
      <w:pPr>
        <w:spacing w:line="540" w:lineRule="exact"/>
        <w:ind w:firstLine="567" w:firstLineChars="181"/>
        <w:rPr>
          <w:rStyle w:val="19"/>
          <w:rFonts w:hint="eastAsia" w:ascii="楷体" w:hAnsi="楷体" w:eastAsia="楷体"/>
          <w:color w:val="0000FF"/>
          <w:spacing w:val="-4"/>
          <w:sz w:val="32"/>
          <w:szCs w:val="32"/>
          <w:highlight w:val="none"/>
          <w:lang w:val="en-US" w:eastAsia="zh-CN"/>
        </w:rPr>
      </w:pPr>
      <w:r>
        <w:rPr>
          <w:rStyle w:val="19"/>
          <w:rFonts w:hint="eastAsia" w:ascii="楷体" w:hAnsi="楷体" w:eastAsia="楷体"/>
          <w:spacing w:val="-4"/>
          <w:sz w:val="32"/>
          <w:szCs w:val="32"/>
          <w:highlight w:val="none"/>
        </w:rPr>
        <w:t>（二）项目资金实际使用情况分析</w:t>
      </w:r>
      <w:r>
        <w:rPr>
          <w:rStyle w:val="19"/>
          <w:rFonts w:hint="eastAsia" w:ascii="楷体" w:hAnsi="楷体" w:eastAsia="楷体"/>
          <w:spacing w:val="-4"/>
          <w:sz w:val="32"/>
          <w:szCs w:val="32"/>
          <w:highlight w:val="none"/>
          <w:lang w:val="en-US" w:eastAsia="zh-CN"/>
        </w:rPr>
        <w:t xml:space="preserve">   </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自治区国有企业改革成本项目财政资金到位资金177.444815万元，实际支付177.444815万元，预算执行率100%，结余0万元。项目资金主要用于对自治区区属国有破产、改制企业新疆六建公司、新疆道路桥梁工程总公司喀什分公司离退休职工医疗保险、活动费、取暖费等三项费予以财政补贴。</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根据中央和自治区、地区项目资金管理办法的要求，地区国资委严格按照项目资金规定的专项资金支持的项目条件和范围要求，严格按照有关规定使用管理项目资金。</w:t>
      </w:r>
    </w:p>
    <w:p>
      <w:pPr>
        <w:spacing w:line="540" w:lineRule="exact"/>
        <w:ind w:firstLine="567" w:firstLineChars="181"/>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（三）项目资金管理情况分析</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自治区国有企业改革成本项目资金分发放时由单位会计收集凭证资料并进行初审，再报地区国资委办公室复核，由地区国资委分管单位财务领导签字核准后，由单位出纳用财政大平台支付。自治区国有企业改革成本项目支出符合《地区国资委财务管理制度》，包括会计人员集中核算工作管理制度、财务收支审批制度、财务稽核制度、财务牵制制度、会计主管岗位职责等制度规定，资金的拨付有完整的审批程序和手续，不存在截留、挤占、挪用等情况。</w:t>
      </w:r>
    </w:p>
    <w:p>
      <w:pPr>
        <w:spacing w:line="540" w:lineRule="exact"/>
        <w:ind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三、项目组织实施情况</w:t>
      </w:r>
    </w:p>
    <w:p>
      <w:pPr>
        <w:spacing w:line="540" w:lineRule="exact"/>
        <w:ind w:firstLine="567" w:firstLineChars="181"/>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（一）项目组织情况分析</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自治区国有企业改革成本项目由地区国资委财务上由分管单位财务领导主抓，地区国资委办公室负责统一管理，财务室负责具体财务事务办理。</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自治区国有企业改革成本项目包括对自治区区属国有破产、改制企业新疆六建公司、新疆道路桥梁工程总公司喀什分公司离退休职工医疗保险、活动费、取暖费等三项费予以财政补贴，自治区国有企业改革成本项目不需要进行招投标程序。</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自治区国有企业改革成本项目不存在调整情况。</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自治区国有企业改革成本项目不存在检查验收程序。</w:t>
      </w:r>
    </w:p>
    <w:p>
      <w:pPr>
        <w:spacing w:line="540" w:lineRule="exact"/>
        <w:ind w:firstLine="567" w:firstLineChars="181"/>
        <w:rPr>
          <w:rStyle w:val="19"/>
          <w:rFonts w:hint="eastAsia" w:ascii="楷体" w:hAnsi="楷体" w:eastAsia="楷体"/>
          <w:spacing w:val="-4"/>
          <w:sz w:val="32"/>
          <w:szCs w:val="32"/>
          <w:highlight w:val="none"/>
        </w:rPr>
      </w:pPr>
      <w:r>
        <w:rPr>
          <w:rStyle w:val="19"/>
          <w:rFonts w:hint="eastAsia" w:ascii="楷体" w:hAnsi="楷体" w:eastAsia="楷体"/>
          <w:spacing w:val="-4"/>
          <w:sz w:val="32"/>
          <w:szCs w:val="32"/>
          <w:highlight w:val="none"/>
        </w:rPr>
        <w:t>（二）项目管理情况分析</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自治区国有企业改革成本项目实施过程中，喀什地区国有资产监督管理委员会遵照地区财政局各项制度，</w:t>
      </w:r>
      <w:r>
        <w:rPr>
          <w:rStyle w:val="19"/>
          <w:rFonts w:hint="eastAsia" w:ascii="仿宋" w:hAnsi="仿宋" w:eastAsia="仿宋"/>
          <w:b w:val="0"/>
          <w:color w:val="000000" w:themeColor="text1"/>
          <w:spacing w:val="-4"/>
          <w:sz w:val="32"/>
          <w:szCs w:val="32"/>
          <w14:textFill>
            <w14:solidFill>
              <w14:schemeClr w14:val="tx1"/>
            </w14:solidFill>
          </w14:textFill>
        </w:rPr>
        <w:t>我单位建立了</w:t>
      </w:r>
      <w:r>
        <w:rPr>
          <w:rStyle w:val="19"/>
          <w:rFonts w:hint="eastAsia" w:ascii="仿宋" w:hAnsi="仿宋" w:eastAsia="仿宋"/>
          <w:b w:val="0"/>
          <w:color w:val="000000" w:themeColor="text1"/>
          <w:spacing w:val="-4"/>
          <w:sz w:val="32"/>
          <w:szCs w:val="32"/>
          <w:highlight w:val="none"/>
          <w14:textFill>
            <w14:solidFill>
              <w14:schemeClr w14:val="tx1"/>
            </w14:solidFill>
          </w14:textFill>
        </w:rPr>
        <w:t>《喀什地区国有资产监督管理委员会财务会计制度》</w:t>
      </w:r>
      <w:r>
        <w:rPr>
          <w:rFonts w:hint="eastAsia" w:ascii="仿宋" w:hAnsi="仿宋" w:eastAsia="仿宋" w:cs="Times New Roman"/>
          <w:bCs/>
          <w:spacing w:val="-4"/>
          <w:kern w:val="2"/>
          <w:sz w:val="32"/>
          <w:szCs w:val="32"/>
          <w:highlight w:val="none"/>
          <w:shd w:val="clear" w:color="auto" w:fill="auto"/>
          <w:lang w:val="en-US" w:eastAsia="zh-CN"/>
        </w:rPr>
        <w:t>保障</w:t>
      </w:r>
      <w:r>
        <w:rPr>
          <w:rFonts w:hint="eastAsia" w:ascii="仿宋" w:hAnsi="仿宋" w:eastAsia="仿宋" w:cs="Times New Roman"/>
          <w:bCs/>
          <w:spacing w:val="-4"/>
          <w:kern w:val="2"/>
          <w:sz w:val="32"/>
          <w:szCs w:val="32"/>
          <w:shd w:val="clear" w:color="auto" w:fill="auto"/>
          <w:lang w:val="en-US" w:eastAsia="zh-CN"/>
        </w:rPr>
        <w:t>自治区国有企业改革成本项目的顺利实施。项目实施遵守相关法律法规和业务管理规定，项目资料齐全并及时归档。已建立喀什地区国有资产监督管理委员会财政资金项目日常检查监督检查机制，不定期对项目进度情况进行督导检查，对检查过程中发现的问题及时督促整改，确保了自治区国有企业改革成本项目按时保质完成。</w:t>
      </w:r>
    </w:p>
    <w:p>
      <w:pPr>
        <w:spacing w:line="540" w:lineRule="exact"/>
        <w:ind w:firstLine="640"/>
        <w:rPr>
          <w:rStyle w:val="19"/>
          <w:rFonts w:ascii="黑体" w:hAnsi="黑体" w:eastAsia="黑体"/>
          <w:highlight w:val="none"/>
        </w:rPr>
      </w:pPr>
      <w:r>
        <w:rPr>
          <w:rStyle w:val="19"/>
          <w:rFonts w:hint="eastAsia" w:ascii="黑体" w:hAnsi="黑体" w:eastAsia="黑体"/>
          <w:b w:val="0"/>
          <w:spacing w:val="-4"/>
          <w:sz w:val="32"/>
          <w:szCs w:val="32"/>
          <w:highlight w:val="none"/>
        </w:rPr>
        <w:t>四、项目绩效情况</w:t>
      </w:r>
    </w:p>
    <w:p>
      <w:pPr>
        <w:spacing w:line="540" w:lineRule="exact"/>
        <w:ind w:firstLine="567" w:firstLineChars="181"/>
        <w:rPr>
          <w:rFonts w:hint="eastAsia" w:ascii="楷体" w:hAnsi="楷体" w:eastAsia="楷体"/>
          <w:b/>
          <w:spacing w:val="-4"/>
          <w:sz w:val="32"/>
          <w:szCs w:val="32"/>
          <w:highlight w:val="none"/>
        </w:rPr>
      </w:pPr>
      <w:r>
        <w:rPr>
          <w:rFonts w:hint="eastAsia" w:ascii="楷体" w:hAnsi="楷体" w:eastAsia="楷体"/>
          <w:b/>
          <w:spacing w:val="-4"/>
          <w:sz w:val="32"/>
          <w:szCs w:val="32"/>
          <w:highlight w:val="none"/>
        </w:rPr>
        <w:t>（一）项目绩效目标完成情况分析</w:t>
      </w:r>
    </w:p>
    <w:p>
      <w:pPr>
        <w:widowControl/>
        <w:ind w:firstLine="600" w:firstLineChars="200"/>
        <w:jc w:val="left"/>
        <w:rPr>
          <w:rFonts w:hint="eastAsia" w:ascii="仿宋" w:hAnsi="仿宋" w:eastAsia="仿宋" w:cs="仿宋"/>
          <w:color w:val="000000" w:themeColor="text1"/>
          <w:kern w:val="0"/>
          <w:sz w:val="30"/>
          <w:szCs w:val="30"/>
          <w:highlight w:val="none"/>
          <w:lang w:eastAsia="zh-CN"/>
          <w14:textFill>
            <w14:solidFill>
              <w14:schemeClr w14:val="tx1"/>
            </w14:solidFill>
          </w14:textFill>
        </w:rPr>
      </w:pPr>
      <w:r>
        <w:rPr>
          <w:rFonts w:hint="eastAsia" w:ascii="仿宋" w:hAnsi="仿宋" w:eastAsia="仿宋" w:cs="仿宋"/>
          <w:color w:val="000000" w:themeColor="text1"/>
          <w:kern w:val="0"/>
          <w:sz w:val="30"/>
          <w:szCs w:val="30"/>
          <w:highlight w:val="none"/>
          <w14:textFill>
            <w14:solidFill>
              <w14:schemeClr w14:val="tx1"/>
            </w14:solidFill>
          </w14:textFill>
        </w:rPr>
        <w:t>本项目共设置一级指标</w:t>
      </w:r>
      <w:r>
        <w:rPr>
          <w:rFonts w:ascii="仿宋" w:hAnsi="仿宋" w:eastAsia="仿宋" w:cs="仿宋"/>
          <w:color w:val="000000" w:themeColor="text1"/>
          <w:kern w:val="0"/>
          <w:sz w:val="30"/>
          <w:szCs w:val="30"/>
          <w:highlight w:val="none"/>
          <w14:textFill>
            <w14:solidFill>
              <w14:schemeClr w14:val="tx1"/>
            </w14:solidFill>
          </w14:textFill>
        </w:rPr>
        <w:t>3</w:t>
      </w:r>
      <w:r>
        <w:rPr>
          <w:rFonts w:hint="eastAsia" w:ascii="仿宋" w:hAnsi="仿宋" w:eastAsia="仿宋" w:cs="仿宋"/>
          <w:color w:val="000000" w:themeColor="text1"/>
          <w:kern w:val="0"/>
          <w:sz w:val="30"/>
          <w:szCs w:val="30"/>
          <w:highlight w:val="none"/>
          <w14:textFill>
            <w14:solidFill>
              <w14:schemeClr w14:val="tx1"/>
            </w14:solidFill>
          </w14:textFill>
        </w:rPr>
        <w:t>个，二级指标</w:t>
      </w:r>
      <w:r>
        <w:rPr>
          <w:rFonts w:hint="eastAsia" w:ascii="仿宋" w:hAnsi="仿宋" w:eastAsia="仿宋" w:cs="仿宋"/>
          <w:color w:val="000000" w:themeColor="text1"/>
          <w:kern w:val="0"/>
          <w:sz w:val="30"/>
          <w:szCs w:val="30"/>
          <w:highlight w:val="none"/>
          <w:lang w:val="en-US" w:eastAsia="zh-CN"/>
          <w14:textFill>
            <w14:solidFill>
              <w14:schemeClr w14:val="tx1"/>
            </w14:solidFill>
          </w14:textFill>
        </w:rPr>
        <w:t>7</w:t>
      </w:r>
      <w:r>
        <w:rPr>
          <w:rFonts w:hint="eastAsia" w:ascii="仿宋" w:hAnsi="仿宋" w:eastAsia="仿宋" w:cs="仿宋"/>
          <w:color w:val="000000" w:themeColor="text1"/>
          <w:kern w:val="0"/>
          <w:sz w:val="30"/>
          <w:szCs w:val="30"/>
          <w:highlight w:val="none"/>
          <w14:textFill>
            <w14:solidFill>
              <w14:schemeClr w14:val="tx1"/>
            </w14:solidFill>
          </w14:textFill>
        </w:rPr>
        <w:t>个，三级指标</w:t>
      </w:r>
      <w:r>
        <w:rPr>
          <w:rFonts w:hint="eastAsia" w:ascii="仿宋" w:hAnsi="仿宋" w:eastAsia="仿宋" w:cs="仿宋"/>
          <w:color w:val="000000" w:themeColor="text1"/>
          <w:kern w:val="0"/>
          <w:sz w:val="30"/>
          <w:szCs w:val="30"/>
          <w:highlight w:val="none"/>
          <w:lang w:val="en-US" w:eastAsia="zh-CN"/>
          <w14:textFill>
            <w14:solidFill>
              <w14:schemeClr w14:val="tx1"/>
            </w14:solidFill>
          </w14:textFill>
        </w:rPr>
        <w:t>9</w:t>
      </w:r>
      <w:r>
        <w:rPr>
          <w:rFonts w:hint="eastAsia" w:ascii="仿宋" w:hAnsi="仿宋" w:eastAsia="仿宋" w:cs="仿宋"/>
          <w:color w:val="000000" w:themeColor="text1"/>
          <w:kern w:val="0"/>
          <w:sz w:val="30"/>
          <w:szCs w:val="30"/>
          <w:highlight w:val="none"/>
          <w14:textFill>
            <w14:solidFill>
              <w14:schemeClr w14:val="tx1"/>
            </w14:solidFill>
          </w14:textFill>
        </w:rPr>
        <w:t>个，其中已完成三级指标</w:t>
      </w:r>
      <w:r>
        <w:rPr>
          <w:rFonts w:hint="eastAsia" w:ascii="仿宋" w:hAnsi="仿宋" w:eastAsia="仿宋" w:cs="仿宋"/>
          <w:color w:val="000000" w:themeColor="text1"/>
          <w:kern w:val="0"/>
          <w:sz w:val="30"/>
          <w:szCs w:val="30"/>
          <w:highlight w:val="none"/>
          <w:lang w:val="en-US" w:eastAsia="zh-CN"/>
          <w14:textFill>
            <w14:solidFill>
              <w14:schemeClr w14:val="tx1"/>
            </w14:solidFill>
          </w14:textFill>
        </w:rPr>
        <w:t>9</w:t>
      </w:r>
      <w:r>
        <w:rPr>
          <w:rFonts w:hint="eastAsia" w:ascii="仿宋" w:hAnsi="仿宋" w:eastAsia="仿宋" w:cs="仿宋"/>
          <w:color w:val="000000" w:themeColor="text1"/>
          <w:kern w:val="0"/>
          <w:sz w:val="30"/>
          <w:szCs w:val="30"/>
          <w:highlight w:val="none"/>
          <w14:textFill>
            <w14:solidFill>
              <w14:schemeClr w14:val="tx1"/>
            </w14:solidFill>
          </w14:textFill>
        </w:rPr>
        <w:t>个，指标完成率为</w:t>
      </w:r>
      <w:r>
        <w:rPr>
          <w:rFonts w:hint="eastAsia" w:ascii="仿宋" w:hAnsi="仿宋" w:eastAsia="仿宋" w:cs="仿宋"/>
          <w:color w:val="000000" w:themeColor="text1"/>
          <w:kern w:val="0"/>
          <w:sz w:val="30"/>
          <w:szCs w:val="30"/>
          <w:highlight w:val="none"/>
          <w:lang w:val="en-US" w:eastAsia="zh-CN"/>
          <w14:textFill>
            <w14:solidFill>
              <w14:schemeClr w14:val="tx1"/>
            </w14:solidFill>
          </w14:textFill>
        </w:rPr>
        <w:t>100</w:t>
      </w:r>
      <w:r>
        <w:rPr>
          <w:rFonts w:ascii="仿宋" w:hAnsi="仿宋" w:eastAsia="仿宋" w:cs="仿宋"/>
          <w:color w:val="000000" w:themeColor="text1"/>
          <w:kern w:val="0"/>
          <w:sz w:val="30"/>
          <w:szCs w:val="30"/>
          <w:highlight w:val="none"/>
          <w14:textFill>
            <w14:solidFill>
              <w14:schemeClr w14:val="tx1"/>
            </w14:solidFill>
          </w14:textFill>
        </w:rPr>
        <w:t>%</w:t>
      </w:r>
      <w:r>
        <w:rPr>
          <w:rFonts w:hint="eastAsia" w:ascii="仿宋" w:hAnsi="仿宋" w:eastAsia="仿宋" w:cs="仿宋"/>
          <w:color w:val="000000" w:themeColor="text1"/>
          <w:kern w:val="0"/>
          <w:sz w:val="30"/>
          <w:szCs w:val="30"/>
          <w:highlight w:val="none"/>
          <w14:textFill>
            <w14:solidFill>
              <w14:schemeClr w14:val="tx1"/>
            </w14:solidFill>
          </w14:textFill>
        </w:rPr>
        <w:t>。</w:t>
      </w:r>
    </w:p>
    <w:p>
      <w:pPr>
        <w:spacing w:line="360" w:lineRule="auto"/>
        <w:ind w:firstLine="586" w:firstLineChars="200"/>
        <w:rPr>
          <w:rFonts w:ascii="仿宋" w:hAnsi="仿宋" w:eastAsia="仿宋" w:cs="仿宋"/>
          <w:b/>
          <w:bCs/>
          <w:color w:val="000000" w:themeColor="text1"/>
          <w:spacing w:val="-4"/>
          <w:sz w:val="30"/>
          <w:szCs w:val="30"/>
          <w:highlight w:val="none"/>
          <w14:textFill>
            <w14:solidFill>
              <w14:schemeClr w14:val="tx1"/>
            </w14:solidFill>
          </w14:textFill>
        </w:rPr>
      </w:pPr>
      <w:r>
        <w:rPr>
          <w:rFonts w:ascii="仿宋" w:hAnsi="仿宋" w:eastAsia="仿宋" w:cs="仿宋"/>
          <w:b/>
          <w:bCs/>
          <w:color w:val="000000" w:themeColor="text1"/>
          <w:spacing w:val="-4"/>
          <w:sz w:val="30"/>
          <w:szCs w:val="30"/>
          <w:highlight w:val="none"/>
          <w14:textFill>
            <w14:solidFill>
              <w14:schemeClr w14:val="tx1"/>
            </w14:solidFill>
          </w14:textFill>
        </w:rPr>
        <w:t>1.</w:t>
      </w:r>
      <w:r>
        <w:rPr>
          <w:rFonts w:hint="eastAsia" w:ascii="仿宋" w:hAnsi="仿宋" w:eastAsia="仿宋" w:cs="仿宋"/>
          <w:b/>
          <w:bCs/>
          <w:color w:val="000000" w:themeColor="text1"/>
          <w:spacing w:val="-4"/>
          <w:sz w:val="30"/>
          <w:szCs w:val="30"/>
          <w:highlight w:val="none"/>
          <w14:textFill>
            <w14:solidFill>
              <w14:schemeClr w14:val="tx1"/>
            </w14:solidFill>
          </w14:textFill>
        </w:rPr>
        <w:t>产出指标完成情况分析</w:t>
      </w:r>
    </w:p>
    <w:p>
      <w:pPr>
        <w:spacing w:line="360" w:lineRule="auto"/>
        <w:ind w:firstLine="584" w:firstLineChars="200"/>
        <w:rPr>
          <w:rFonts w:hint="eastAsia" w:ascii="仿宋" w:hAnsi="仿宋" w:eastAsia="仿宋" w:cs="仿宋"/>
          <w:color w:val="000000" w:themeColor="text1"/>
          <w:spacing w:val="-4"/>
          <w:sz w:val="30"/>
          <w:szCs w:val="30"/>
          <w:highlight w:val="none"/>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w:t>
      </w:r>
      <w:r>
        <w:rPr>
          <w:rFonts w:ascii="仿宋" w:hAnsi="仿宋" w:eastAsia="仿宋" w:cs="仿宋"/>
          <w:color w:val="000000" w:themeColor="text1"/>
          <w:spacing w:val="-4"/>
          <w:sz w:val="30"/>
          <w:szCs w:val="30"/>
          <w:highlight w:val="none"/>
          <w14:textFill>
            <w14:solidFill>
              <w14:schemeClr w14:val="tx1"/>
            </w14:solidFill>
          </w14:textFill>
        </w:rPr>
        <w:t>1</w:t>
      </w:r>
      <w:r>
        <w:rPr>
          <w:rFonts w:hint="eastAsia" w:ascii="仿宋" w:hAnsi="仿宋" w:eastAsia="仿宋" w:cs="仿宋"/>
          <w:color w:val="000000" w:themeColor="text1"/>
          <w:spacing w:val="-4"/>
          <w:sz w:val="30"/>
          <w:szCs w:val="30"/>
          <w:highlight w:val="none"/>
          <w14:textFill>
            <w14:solidFill>
              <w14:schemeClr w14:val="tx1"/>
            </w14:solidFill>
          </w14:textFill>
        </w:rPr>
        <w:t>）项目完成数量</w:t>
      </w:r>
    </w:p>
    <w:p>
      <w:p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eastAsia="zh-CN"/>
          <w14:textFill>
            <w14:solidFill>
              <w14:schemeClr w14:val="tx1"/>
            </w14:solidFill>
          </w14:textFill>
        </w:rPr>
        <w:t>补贴企业数量”</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指标：预期指标值为2户，实际完成指标值为2户，指标完成率为100%;</w:t>
      </w:r>
    </w:p>
    <w:p>
      <w:p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eastAsia="zh-CN"/>
          <w14:textFill>
            <w14:solidFill>
              <w14:schemeClr w14:val="tx1"/>
            </w14:solidFill>
          </w14:textFill>
        </w:rPr>
        <w:t>自治区区属国有破产、改制企业离退休职工保障人员数</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指标：预期指标值为1228人，实际完成指标值为1228人，指标完成率为100%;</w:t>
      </w:r>
    </w:p>
    <w:p>
      <w:pPr>
        <w:spacing w:line="360" w:lineRule="auto"/>
        <w:ind w:firstLine="584" w:firstLineChars="200"/>
        <w:rPr>
          <w:rFonts w:hint="eastAsia" w:ascii="仿宋" w:hAnsi="仿宋" w:eastAsia="仿宋" w:cs="仿宋"/>
          <w:color w:val="000000" w:themeColor="text1"/>
          <w:spacing w:val="-4"/>
          <w:sz w:val="30"/>
          <w:szCs w:val="30"/>
          <w:highlight w:val="none"/>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w:t>
      </w:r>
      <w:r>
        <w:rPr>
          <w:rFonts w:ascii="仿宋" w:hAnsi="仿宋" w:eastAsia="仿宋" w:cs="仿宋"/>
          <w:color w:val="000000" w:themeColor="text1"/>
          <w:spacing w:val="-4"/>
          <w:sz w:val="30"/>
          <w:szCs w:val="30"/>
          <w:highlight w:val="none"/>
          <w14:textFill>
            <w14:solidFill>
              <w14:schemeClr w14:val="tx1"/>
            </w14:solidFill>
          </w14:textFill>
        </w:rPr>
        <w:t>2</w:t>
      </w:r>
      <w:r>
        <w:rPr>
          <w:rFonts w:hint="eastAsia" w:ascii="仿宋" w:hAnsi="仿宋" w:eastAsia="仿宋" w:cs="仿宋"/>
          <w:color w:val="000000" w:themeColor="text1"/>
          <w:spacing w:val="-4"/>
          <w:sz w:val="30"/>
          <w:szCs w:val="30"/>
          <w:highlight w:val="none"/>
          <w14:textFill>
            <w14:solidFill>
              <w14:schemeClr w14:val="tx1"/>
            </w14:solidFill>
          </w14:textFill>
        </w:rPr>
        <w:t>）项目完成质量</w:t>
      </w:r>
    </w:p>
    <w:p>
      <w:p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eastAsia="zh-CN"/>
          <w14:textFill>
            <w14:solidFill>
              <w14:schemeClr w14:val="tx1"/>
            </w14:solidFill>
          </w14:textFill>
        </w:rPr>
        <w:t>自治区区属国有破产、改制企业离退休职工三项费用财政补助项目保障人员覆盖率</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指标：预期指标值为100%，实际完成指标值为100%，指标完成率为100%;</w:t>
      </w:r>
    </w:p>
    <w:p>
      <w:p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eastAsia="zh-CN"/>
          <w14:textFill>
            <w14:solidFill>
              <w14:schemeClr w14:val="tx1"/>
            </w14:solidFill>
          </w14:textFill>
        </w:rPr>
        <w:t>自治区区属国有破产、改制企业离退休职工医疗保险参保率</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指标：预期指标值为100%，实际完成指标值为100%，指标完成率为100%;</w:t>
      </w:r>
    </w:p>
    <w:p>
      <w:pPr>
        <w:spacing w:line="360" w:lineRule="auto"/>
        <w:ind w:firstLine="584" w:firstLineChars="200"/>
        <w:rPr>
          <w:rFonts w:hint="eastAsia" w:ascii="仿宋" w:hAnsi="仿宋" w:eastAsia="仿宋" w:cs="仿宋"/>
          <w:color w:val="000000" w:themeColor="text1"/>
          <w:spacing w:val="-4"/>
          <w:sz w:val="30"/>
          <w:szCs w:val="30"/>
          <w:highlight w:val="none"/>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w:t>
      </w:r>
      <w:r>
        <w:rPr>
          <w:rFonts w:ascii="仿宋" w:hAnsi="仿宋" w:eastAsia="仿宋" w:cs="仿宋"/>
          <w:color w:val="000000" w:themeColor="text1"/>
          <w:spacing w:val="-4"/>
          <w:sz w:val="30"/>
          <w:szCs w:val="30"/>
          <w:highlight w:val="none"/>
          <w14:textFill>
            <w14:solidFill>
              <w14:schemeClr w14:val="tx1"/>
            </w14:solidFill>
          </w14:textFill>
        </w:rPr>
        <w:t>3</w:t>
      </w:r>
      <w:r>
        <w:rPr>
          <w:rFonts w:hint="eastAsia" w:ascii="仿宋" w:hAnsi="仿宋" w:eastAsia="仿宋" w:cs="仿宋"/>
          <w:color w:val="000000" w:themeColor="text1"/>
          <w:spacing w:val="-4"/>
          <w:sz w:val="30"/>
          <w:szCs w:val="30"/>
          <w:highlight w:val="none"/>
          <w14:textFill>
            <w14:solidFill>
              <w14:schemeClr w14:val="tx1"/>
            </w14:solidFill>
          </w14:textFill>
        </w:rPr>
        <w:t>）项目实施进度</w:t>
      </w:r>
    </w:p>
    <w:p>
      <w:p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eastAsia="zh-CN"/>
          <w14:textFill>
            <w14:solidFill>
              <w14:schemeClr w14:val="tx1"/>
            </w14:solidFill>
          </w14:textFill>
        </w:rPr>
        <w:t>资金支付及时率</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指标：预期指标值为100%，实际完成指标值为100%，指标完成率为100%;</w:t>
      </w:r>
    </w:p>
    <w:p>
      <w:pPr>
        <w:spacing w:line="360" w:lineRule="auto"/>
        <w:ind w:firstLine="584" w:firstLineChars="200"/>
        <w:rPr>
          <w:rFonts w:hint="eastAsia" w:ascii="仿宋" w:hAnsi="仿宋" w:eastAsia="仿宋" w:cs="仿宋"/>
          <w:color w:val="000000" w:themeColor="text1"/>
          <w:spacing w:val="-4"/>
          <w:sz w:val="30"/>
          <w:szCs w:val="30"/>
          <w:highlight w:val="none"/>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w:t>
      </w:r>
      <w:r>
        <w:rPr>
          <w:rFonts w:ascii="仿宋" w:hAnsi="仿宋" w:eastAsia="仿宋" w:cs="仿宋"/>
          <w:color w:val="000000" w:themeColor="text1"/>
          <w:spacing w:val="-4"/>
          <w:sz w:val="30"/>
          <w:szCs w:val="30"/>
          <w:highlight w:val="none"/>
          <w14:textFill>
            <w14:solidFill>
              <w14:schemeClr w14:val="tx1"/>
            </w14:solidFill>
          </w14:textFill>
        </w:rPr>
        <w:t>4</w:t>
      </w:r>
      <w:r>
        <w:rPr>
          <w:rFonts w:hint="eastAsia" w:ascii="仿宋" w:hAnsi="仿宋" w:eastAsia="仿宋" w:cs="仿宋"/>
          <w:color w:val="000000" w:themeColor="text1"/>
          <w:spacing w:val="-4"/>
          <w:sz w:val="30"/>
          <w:szCs w:val="30"/>
          <w:highlight w:val="none"/>
          <w14:textFill>
            <w14:solidFill>
              <w14:schemeClr w14:val="tx1"/>
            </w14:solidFill>
          </w14:textFill>
        </w:rPr>
        <w:t>）项目成本节约情况</w:t>
      </w:r>
    </w:p>
    <w:p>
      <w:p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财政年度补助标准指标：预期指标值为238.6万元，实际完成指标值为177.444815万元，指标完成率为74.36%;</w:t>
      </w:r>
    </w:p>
    <w:p>
      <w:pPr>
        <w:spacing w:line="360" w:lineRule="auto"/>
        <w:ind w:firstLine="586" w:firstLineChars="200"/>
        <w:rPr>
          <w:rFonts w:ascii="仿宋" w:hAnsi="仿宋" w:eastAsia="仿宋" w:cs="仿宋"/>
          <w:b/>
          <w:bCs/>
          <w:color w:val="000000" w:themeColor="text1"/>
          <w:spacing w:val="-4"/>
          <w:sz w:val="30"/>
          <w:szCs w:val="30"/>
          <w:highlight w:val="none"/>
          <w14:textFill>
            <w14:solidFill>
              <w14:schemeClr w14:val="tx1"/>
            </w14:solidFill>
          </w14:textFill>
        </w:rPr>
      </w:pPr>
      <w:r>
        <w:rPr>
          <w:rFonts w:ascii="仿宋" w:hAnsi="仿宋" w:eastAsia="仿宋" w:cs="仿宋"/>
          <w:b/>
          <w:bCs/>
          <w:color w:val="000000" w:themeColor="text1"/>
          <w:spacing w:val="-4"/>
          <w:sz w:val="30"/>
          <w:szCs w:val="30"/>
          <w:highlight w:val="none"/>
          <w14:textFill>
            <w14:solidFill>
              <w14:schemeClr w14:val="tx1"/>
            </w14:solidFill>
          </w14:textFill>
        </w:rPr>
        <w:t>2.</w:t>
      </w:r>
      <w:r>
        <w:rPr>
          <w:rFonts w:hint="eastAsia" w:ascii="仿宋" w:hAnsi="仿宋" w:eastAsia="仿宋" w:cs="仿宋"/>
          <w:b/>
          <w:bCs/>
          <w:color w:val="000000" w:themeColor="text1"/>
          <w:spacing w:val="-4"/>
          <w:sz w:val="30"/>
          <w:szCs w:val="30"/>
          <w:highlight w:val="none"/>
          <w14:textFill>
            <w14:solidFill>
              <w14:schemeClr w14:val="tx1"/>
            </w14:solidFill>
          </w14:textFill>
        </w:rPr>
        <w:t>效益指标完成情况分析</w:t>
      </w:r>
    </w:p>
    <w:p>
      <w:pPr>
        <w:spacing w:line="360" w:lineRule="auto"/>
        <w:ind w:firstLine="584" w:firstLineChars="200"/>
        <w:rPr>
          <w:rFonts w:hint="eastAsia" w:ascii="仿宋" w:hAnsi="仿宋" w:eastAsia="仿宋" w:cs="仿宋"/>
          <w:color w:val="000000" w:themeColor="text1"/>
          <w:spacing w:val="-4"/>
          <w:sz w:val="30"/>
          <w:szCs w:val="30"/>
          <w:highlight w:val="none"/>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w:t>
      </w:r>
      <w:r>
        <w:rPr>
          <w:rFonts w:ascii="仿宋" w:hAnsi="仿宋" w:eastAsia="仿宋" w:cs="仿宋"/>
          <w:color w:val="000000" w:themeColor="text1"/>
          <w:spacing w:val="-4"/>
          <w:sz w:val="30"/>
          <w:szCs w:val="30"/>
          <w:highlight w:val="none"/>
          <w14:textFill>
            <w14:solidFill>
              <w14:schemeClr w14:val="tx1"/>
            </w14:solidFill>
          </w14:textFill>
        </w:rPr>
        <w:t>1</w:t>
      </w:r>
      <w:r>
        <w:rPr>
          <w:rFonts w:hint="eastAsia" w:ascii="仿宋" w:hAnsi="仿宋" w:eastAsia="仿宋" w:cs="仿宋"/>
          <w:color w:val="000000" w:themeColor="text1"/>
          <w:spacing w:val="-4"/>
          <w:sz w:val="30"/>
          <w:szCs w:val="30"/>
          <w:highlight w:val="none"/>
          <w14:textFill>
            <w14:solidFill>
              <w14:schemeClr w14:val="tx1"/>
            </w14:solidFill>
          </w14:textFill>
        </w:rPr>
        <w:t>）项目实施的经济效益分析</w:t>
      </w:r>
    </w:p>
    <w:p>
      <w:pPr>
        <w:spacing w:line="360" w:lineRule="auto"/>
        <w:ind w:firstLine="876" w:firstLineChars="300"/>
        <w:rPr>
          <w:rFonts w:hint="eastAsia" w:ascii="仿宋" w:hAnsi="仿宋" w:eastAsia="仿宋" w:cs="仿宋"/>
          <w:color w:val="000000" w:themeColor="text1"/>
          <w:spacing w:val="-4"/>
          <w:sz w:val="30"/>
          <w:szCs w:val="30"/>
          <w:highlight w:val="none"/>
          <w:lang w:eastAsia="zh-CN"/>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无</w:t>
      </w:r>
      <w:r>
        <w:rPr>
          <w:rFonts w:hint="eastAsia" w:ascii="仿宋" w:hAnsi="仿宋" w:eastAsia="仿宋" w:cs="仿宋"/>
          <w:color w:val="000000" w:themeColor="text1"/>
          <w:spacing w:val="-4"/>
          <w:sz w:val="30"/>
          <w:szCs w:val="30"/>
          <w:highlight w:val="none"/>
          <w:lang w:eastAsia="zh-CN"/>
          <w14:textFill>
            <w14:solidFill>
              <w14:schemeClr w14:val="tx1"/>
            </w14:solidFill>
          </w14:textFill>
        </w:rPr>
        <w:t>；</w:t>
      </w:r>
    </w:p>
    <w:p>
      <w:pPr>
        <w:spacing w:line="360" w:lineRule="auto"/>
        <w:ind w:firstLine="586" w:firstLineChars="200"/>
        <w:rPr>
          <w:rFonts w:hint="eastAsia" w:ascii="仿宋" w:hAnsi="仿宋" w:eastAsia="仿宋" w:cs="仿宋"/>
          <w:color w:val="000000" w:themeColor="text1"/>
          <w:spacing w:val="-4"/>
          <w:sz w:val="30"/>
          <w:szCs w:val="30"/>
          <w:highlight w:val="none"/>
          <w14:textFill>
            <w14:solidFill>
              <w14:schemeClr w14:val="tx1"/>
            </w14:solidFill>
          </w14:textFill>
        </w:rPr>
      </w:pPr>
      <w:r>
        <w:rPr>
          <w:rFonts w:hint="eastAsia" w:ascii="仿宋" w:hAnsi="仿宋" w:eastAsia="仿宋" w:cs="仿宋"/>
          <w:b/>
          <w:bCs/>
          <w:color w:val="000000" w:themeColor="text1"/>
          <w:spacing w:val="-4"/>
          <w:sz w:val="30"/>
          <w:szCs w:val="30"/>
          <w:highlight w:val="none"/>
          <w14:textFill>
            <w14:solidFill>
              <w14:schemeClr w14:val="tx1"/>
            </w14:solidFill>
          </w14:textFill>
        </w:rPr>
        <w:t>（</w:t>
      </w:r>
      <w:r>
        <w:rPr>
          <w:rFonts w:ascii="仿宋" w:hAnsi="仿宋" w:eastAsia="仿宋" w:cs="仿宋"/>
          <w:color w:val="000000" w:themeColor="text1"/>
          <w:spacing w:val="-4"/>
          <w:sz w:val="30"/>
          <w:szCs w:val="30"/>
          <w:highlight w:val="none"/>
          <w14:textFill>
            <w14:solidFill>
              <w14:schemeClr w14:val="tx1"/>
            </w14:solidFill>
          </w14:textFill>
        </w:rPr>
        <w:t>2</w:t>
      </w:r>
      <w:r>
        <w:rPr>
          <w:rFonts w:hint="eastAsia" w:ascii="仿宋" w:hAnsi="仿宋" w:eastAsia="仿宋" w:cs="仿宋"/>
          <w:color w:val="000000" w:themeColor="text1"/>
          <w:spacing w:val="-4"/>
          <w:sz w:val="30"/>
          <w:szCs w:val="30"/>
          <w:highlight w:val="none"/>
          <w14:textFill>
            <w14:solidFill>
              <w14:schemeClr w14:val="tx1"/>
            </w14:solidFill>
          </w14:textFill>
        </w:rPr>
        <w:t>）项目实施的社会效益分析</w:t>
      </w:r>
    </w:p>
    <w:p>
      <w:p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eastAsia="zh-CN"/>
          <w14:textFill>
            <w14:solidFill>
              <w14:schemeClr w14:val="tx1"/>
            </w14:solidFill>
          </w14:textFill>
        </w:rPr>
        <w:t>改善自治区区属国有破产、改制企业离退休职工医疗保障水平</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指标：预期指标值为有效改善，实际完成指标值为有效改善，指标完成率为100%;</w:t>
      </w:r>
    </w:p>
    <w:p>
      <w:pPr>
        <w:spacing w:line="360" w:lineRule="auto"/>
        <w:ind w:firstLine="584" w:firstLineChars="200"/>
        <w:rPr>
          <w:rFonts w:hint="eastAsia" w:ascii="仿宋" w:hAnsi="仿宋" w:eastAsia="仿宋" w:cs="仿宋"/>
          <w:bCs/>
          <w:color w:val="000000" w:themeColor="text1"/>
          <w:spacing w:val="-4"/>
          <w:sz w:val="30"/>
          <w:szCs w:val="30"/>
          <w:highlight w:val="none"/>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w:t>
      </w:r>
      <w:r>
        <w:rPr>
          <w:rFonts w:ascii="仿宋" w:hAnsi="仿宋" w:eastAsia="仿宋" w:cs="仿宋"/>
          <w:color w:val="000000" w:themeColor="text1"/>
          <w:spacing w:val="-4"/>
          <w:sz w:val="30"/>
          <w:szCs w:val="30"/>
          <w:highlight w:val="none"/>
          <w14:textFill>
            <w14:solidFill>
              <w14:schemeClr w14:val="tx1"/>
            </w14:solidFill>
          </w14:textFill>
        </w:rPr>
        <w:t>3</w:t>
      </w:r>
      <w:r>
        <w:rPr>
          <w:rFonts w:hint="eastAsia" w:ascii="仿宋" w:hAnsi="仿宋" w:eastAsia="仿宋" w:cs="仿宋"/>
          <w:color w:val="000000" w:themeColor="text1"/>
          <w:spacing w:val="-4"/>
          <w:sz w:val="30"/>
          <w:szCs w:val="30"/>
          <w:highlight w:val="none"/>
          <w14:textFill>
            <w14:solidFill>
              <w14:schemeClr w14:val="tx1"/>
            </w14:solidFill>
          </w14:textFill>
        </w:rPr>
        <w:t>）项目实施的生态效益分</w:t>
      </w:r>
      <w:r>
        <w:rPr>
          <w:rFonts w:hint="eastAsia" w:ascii="仿宋" w:hAnsi="仿宋" w:eastAsia="仿宋" w:cs="仿宋"/>
          <w:bCs/>
          <w:color w:val="000000" w:themeColor="text1"/>
          <w:spacing w:val="-4"/>
          <w:sz w:val="30"/>
          <w:szCs w:val="30"/>
          <w:highlight w:val="none"/>
          <w14:textFill>
            <w14:solidFill>
              <w14:schemeClr w14:val="tx1"/>
            </w14:solidFill>
          </w14:textFill>
        </w:rPr>
        <w:t>析</w:t>
      </w:r>
    </w:p>
    <w:p>
      <w:pPr>
        <w:spacing w:line="360" w:lineRule="auto"/>
        <w:ind w:firstLine="876" w:firstLineChars="300"/>
        <w:rPr>
          <w:rFonts w:hint="eastAsia" w:ascii="仿宋" w:hAnsi="仿宋" w:eastAsia="仿宋" w:cs="仿宋"/>
          <w:color w:val="000000" w:themeColor="text1"/>
          <w:spacing w:val="-4"/>
          <w:sz w:val="30"/>
          <w:szCs w:val="30"/>
          <w:highlight w:val="none"/>
          <w:lang w:eastAsia="zh-CN"/>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无</w:t>
      </w:r>
      <w:r>
        <w:rPr>
          <w:rFonts w:hint="eastAsia" w:ascii="仿宋" w:hAnsi="仿宋" w:eastAsia="仿宋" w:cs="仿宋"/>
          <w:color w:val="000000" w:themeColor="text1"/>
          <w:spacing w:val="-4"/>
          <w:sz w:val="30"/>
          <w:szCs w:val="30"/>
          <w:highlight w:val="none"/>
          <w:lang w:eastAsia="zh-CN"/>
          <w14:textFill>
            <w14:solidFill>
              <w14:schemeClr w14:val="tx1"/>
            </w14:solidFill>
          </w14:textFill>
        </w:rPr>
        <w:t>；</w:t>
      </w:r>
    </w:p>
    <w:p>
      <w:pPr>
        <w:spacing w:line="360" w:lineRule="auto"/>
        <w:ind w:firstLine="584" w:firstLineChars="200"/>
        <w:rPr>
          <w:rFonts w:hint="eastAsia" w:ascii="仿宋" w:hAnsi="仿宋" w:eastAsia="仿宋" w:cs="仿宋"/>
          <w:bCs/>
          <w:color w:val="000000" w:themeColor="text1"/>
          <w:spacing w:val="-4"/>
          <w:sz w:val="30"/>
          <w:szCs w:val="30"/>
          <w:highlight w:val="none"/>
          <w14:textFill>
            <w14:solidFill>
              <w14:schemeClr w14:val="tx1"/>
            </w14:solidFill>
          </w14:textFill>
        </w:rPr>
      </w:pPr>
      <w:r>
        <w:rPr>
          <w:rFonts w:hint="eastAsia" w:ascii="仿宋" w:hAnsi="仿宋" w:eastAsia="仿宋" w:cs="仿宋"/>
          <w:bCs/>
          <w:color w:val="000000" w:themeColor="text1"/>
          <w:spacing w:val="-4"/>
          <w:sz w:val="30"/>
          <w:szCs w:val="30"/>
          <w:highlight w:val="none"/>
          <w14:textFill>
            <w14:solidFill>
              <w14:schemeClr w14:val="tx1"/>
            </w14:solidFill>
          </w14:textFill>
        </w:rPr>
        <w:t>（</w:t>
      </w:r>
      <w:r>
        <w:rPr>
          <w:rFonts w:ascii="仿宋" w:hAnsi="仿宋" w:eastAsia="仿宋" w:cs="仿宋"/>
          <w:bCs/>
          <w:color w:val="000000" w:themeColor="text1"/>
          <w:spacing w:val="-4"/>
          <w:sz w:val="30"/>
          <w:szCs w:val="30"/>
          <w:highlight w:val="none"/>
          <w14:textFill>
            <w14:solidFill>
              <w14:schemeClr w14:val="tx1"/>
            </w14:solidFill>
          </w14:textFill>
        </w:rPr>
        <w:t>4</w:t>
      </w:r>
      <w:r>
        <w:rPr>
          <w:rFonts w:hint="eastAsia" w:ascii="仿宋" w:hAnsi="仿宋" w:eastAsia="仿宋" w:cs="仿宋"/>
          <w:bCs/>
          <w:color w:val="000000" w:themeColor="text1"/>
          <w:spacing w:val="-4"/>
          <w:sz w:val="30"/>
          <w:szCs w:val="30"/>
          <w:highlight w:val="none"/>
          <w14:textFill>
            <w14:solidFill>
              <w14:schemeClr w14:val="tx1"/>
            </w14:solidFill>
          </w14:textFill>
        </w:rPr>
        <w:t>）项目实施的可持续影响分析</w:t>
      </w:r>
    </w:p>
    <w:p>
      <w:p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eastAsia="zh-CN"/>
          <w14:textFill>
            <w14:solidFill>
              <w14:schemeClr w14:val="tx1"/>
            </w14:solidFill>
          </w14:textFill>
        </w:rPr>
        <w:t>执行自治区区属国有破产、改制企业离退休职工三项费用财政补助政策</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指标：预期指标值为长期执行，实际完成指标值为长期执行，指标完成率为100%;</w:t>
      </w:r>
    </w:p>
    <w:p>
      <w:pPr>
        <w:spacing w:line="360" w:lineRule="auto"/>
        <w:ind w:firstLine="586" w:firstLineChars="200"/>
        <w:rPr>
          <w:rFonts w:ascii="仿宋" w:hAnsi="仿宋" w:eastAsia="仿宋" w:cs="仿宋"/>
          <w:b/>
          <w:bCs/>
          <w:color w:val="000000" w:themeColor="text1"/>
          <w:spacing w:val="-4"/>
          <w:sz w:val="30"/>
          <w:szCs w:val="30"/>
          <w:highlight w:val="none"/>
          <w14:textFill>
            <w14:solidFill>
              <w14:schemeClr w14:val="tx1"/>
            </w14:solidFill>
          </w14:textFill>
        </w:rPr>
      </w:pPr>
      <w:r>
        <w:rPr>
          <w:rFonts w:ascii="仿宋" w:hAnsi="仿宋" w:eastAsia="仿宋" w:cs="仿宋"/>
          <w:b/>
          <w:bCs/>
          <w:color w:val="000000" w:themeColor="text1"/>
          <w:spacing w:val="-4"/>
          <w:sz w:val="30"/>
          <w:szCs w:val="30"/>
          <w:highlight w:val="none"/>
          <w14:textFill>
            <w14:solidFill>
              <w14:schemeClr w14:val="tx1"/>
            </w14:solidFill>
          </w14:textFill>
        </w:rPr>
        <w:t>3.</w:t>
      </w:r>
      <w:r>
        <w:rPr>
          <w:rFonts w:hint="eastAsia" w:ascii="仿宋" w:hAnsi="仿宋" w:eastAsia="仿宋" w:cs="仿宋"/>
          <w:b/>
          <w:bCs/>
          <w:color w:val="000000" w:themeColor="text1"/>
          <w:spacing w:val="-4"/>
          <w:sz w:val="30"/>
          <w:szCs w:val="30"/>
          <w:highlight w:val="none"/>
          <w14:textFill>
            <w14:solidFill>
              <w14:schemeClr w14:val="tx1"/>
            </w14:solidFill>
          </w14:textFill>
        </w:rPr>
        <w:t>满意度指标完成情况分析</w:t>
      </w:r>
    </w:p>
    <w:p>
      <w:pPr>
        <w:spacing w:line="360" w:lineRule="auto"/>
        <w:ind w:firstLine="584" w:firstLineChars="200"/>
        <w:rPr>
          <w:rFonts w:hint="eastAsia" w:ascii="仿宋" w:hAnsi="仿宋" w:eastAsia="仿宋" w:cs="仿宋"/>
          <w:color w:val="000000" w:themeColor="text1"/>
          <w:spacing w:val="-4"/>
          <w:sz w:val="30"/>
          <w:szCs w:val="30"/>
          <w:highlight w:val="none"/>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按计划完成项目实施，</w:t>
      </w:r>
      <w:r>
        <w:rPr>
          <w:rFonts w:hint="eastAsia" w:ascii="仿宋" w:hAnsi="仿宋" w:eastAsia="仿宋" w:cs="仿宋"/>
          <w:color w:val="000000" w:themeColor="text1"/>
          <w:spacing w:val="-4"/>
          <w:sz w:val="30"/>
          <w:szCs w:val="30"/>
          <w:highlight w:val="none"/>
          <w:lang w:eastAsia="zh-CN"/>
          <w14:textFill>
            <w14:solidFill>
              <w14:schemeClr w14:val="tx1"/>
            </w14:solidFill>
          </w14:textFill>
        </w:rPr>
        <w:t>补贴单位满意度</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指标：预期指标值为≥95%，实际完成指标值为98%，指标完成率为100%;</w:t>
      </w:r>
      <w:r>
        <w:rPr>
          <w:rFonts w:hint="eastAsia" w:ascii="仿宋" w:hAnsi="仿宋" w:eastAsia="仿宋" w:cs="仿宋"/>
          <w:color w:val="000000" w:themeColor="text1"/>
          <w:spacing w:val="-4"/>
          <w:sz w:val="30"/>
          <w:szCs w:val="30"/>
          <w:highlight w:val="none"/>
          <w14:textFill>
            <w14:solidFill>
              <w14:schemeClr w14:val="tx1"/>
            </w14:solidFill>
          </w14:textFill>
        </w:rPr>
        <w:t>服务对象满意度指标完成。</w:t>
      </w:r>
    </w:p>
    <w:p>
      <w:pPr>
        <w:spacing w:line="360" w:lineRule="auto"/>
        <w:ind w:firstLine="627" w:firstLineChars="200"/>
        <w:rPr>
          <w:rFonts w:hint="eastAsia" w:ascii="楷体" w:hAnsi="楷体" w:eastAsia="楷体"/>
          <w:b/>
          <w:spacing w:val="-4"/>
          <w:sz w:val="32"/>
          <w:szCs w:val="32"/>
          <w:highlight w:val="none"/>
        </w:rPr>
      </w:pPr>
      <w:r>
        <w:rPr>
          <w:rFonts w:hint="eastAsia" w:ascii="楷体" w:hAnsi="楷体" w:eastAsia="楷体"/>
          <w:b/>
          <w:spacing w:val="-4"/>
          <w:sz w:val="32"/>
          <w:szCs w:val="32"/>
          <w:highlight w:val="none"/>
        </w:rPr>
        <w:t>（二）项目绩效目标未完成原因分析</w:t>
      </w:r>
    </w:p>
    <w:p>
      <w:pPr>
        <w:adjustRightInd w:val="0"/>
        <w:snapToGrid w:val="0"/>
        <w:spacing w:line="560" w:lineRule="exact"/>
        <w:ind w:firstLine="624" w:firstLineChars="200"/>
        <w:rPr>
          <w:rFonts w:ascii="仿宋" w:hAnsi="仿宋" w:eastAsia="仿宋"/>
          <w:color w:val="000000" w:themeColor="text1"/>
          <w:spacing w:val="-4"/>
          <w:sz w:val="32"/>
          <w:szCs w:val="32"/>
          <w:highlight w:val="none"/>
          <w14:textFill>
            <w14:solidFill>
              <w14:schemeClr w14:val="tx1"/>
            </w14:solidFill>
          </w14:textFill>
        </w:rPr>
      </w:pPr>
      <w:r>
        <w:rPr>
          <w:rFonts w:hint="eastAsia" w:ascii="仿宋" w:hAnsi="仿宋" w:eastAsia="仿宋"/>
          <w:color w:val="000000" w:themeColor="text1"/>
          <w:spacing w:val="-4"/>
          <w:sz w:val="32"/>
          <w:szCs w:val="32"/>
          <w:highlight w:val="none"/>
          <w14:textFill>
            <w14:solidFill>
              <w14:schemeClr w14:val="tx1"/>
            </w14:solidFill>
          </w14:textFill>
        </w:rPr>
        <w:t>此项目无偏差，本年度项目绩效目标全部达成，不存在未完成原因分析。</w:t>
      </w:r>
    </w:p>
    <w:p>
      <w:pPr>
        <w:spacing w:line="540" w:lineRule="exact"/>
        <w:ind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五、其他需要说明的问题</w:t>
      </w:r>
    </w:p>
    <w:p>
      <w:pPr>
        <w:spacing w:line="540" w:lineRule="exact"/>
        <w:ind w:firstLine="567" w:firstLineChars="181"/>
        <w:rPr>
          <w:rFonts w:ascii="楷体" w:hAnsi="楷体" w:eastAsia="楷体"/>
          <w:b/>
          <w:spacing w:val="-4"/>
          <w:sz w:val="32"/>
          <w:szCs w:val="32"/>
          <w:highlight w:val="none"/>
        </w:rPr>
      </w:pPr>
      <w:r>
        <w:rPr>
          <w:rFonts w:hint="eastAsia" w:ascii="楷体" w:hAnsi="楷体" w:eastAsia="楷体"/>
          <w:b/>
          <w:spacing w:val="-4"/>
          <w:sz w:val="32"/>
          <w:szCs w:val="32"/>
          <w:highlight w:val="none"/>
        </w:rPr>
        <w:t>（一）后续工作计划</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按照下一年度自治区国有企业改革成本项目实际支出需求，编制下一年度自治区国有企业改革成本项目预算计划。</w:t>
      </w:r>
    </w:p>
    <w:p>
      <w:pPr>
        <w:spacing w:line="540" w:lineRule="exact"/>
        <w:ind w:firstLine="567" w:firstLineChars="181"/>
        <w:rPr>
          <w:rFonts w:hint="eastAsia" w:ascii="楷体" w:hAnsi="楷体" w:eastAsia="楷体"/>
          <w:b/>
          <w:spacing w:val="-4"/>
          <w:sz w:val="32"/>
          <w:szCs w:val="32"/>
          <w:highlight w:val="none"/>
        </w:rPr>
      </w:pPr>
      <w:r>
        <w:rPr>
          <w:rFonts w:hint="eastAsia" w:ascii="楷体" w:hAnsi="楷体" w:eastAsia="楷体"/>
          <w:b/>
          <w:spacing w:val="-4"/>
          <w:sz w:val="32"/>
          <w:szCs w:val="32"/>
          <w:highlight w:val="none"/>
        </w:rPr>
        <w:t>（二）主要经验及做法、存在问题和建议</w:t>
      </w:r>
    </w:p>
    <w:p>
      <w:pPr>
        <w:keepNext w:val="0"/>
        <w:keepLines w:val="0"/>
        <w:pageBreakBefore w:val="0"/>
        <w:kinsoku/>
        <w:wordWrap/>
        <w:overflowPunct/>
        <w:topLinePunct w:val="0"/>
        <w:autoSpaceDE/>
        <w:autoSpaceDN/>
        <w:bidi w:val="0"/>
        <w:adjustRightInd w:val="0"/>
        <w:snapToGrid w:val="0"/>
        <w:spacing w:line="560" w:lineRule="exact"/>
        <w:ind w:firstLine="627" w:firstLineChars="200"/>
        <w:jc w:val="both"/>
        <w:textAlignment w:val="auto"/>
        <w:rPr>
          <w:rFonts w:hint="eastAsia" w:ascii="仿宋" w:hAnsi="仿宋" w:eastAsia="仿宋" w:cs="Times New Roman"/>
          <w:b/>
          <w:bCs w:val="0"/>
          <w:spacing w:val="-4"/>
          <w:kern w:val="2"/>
          <w:sz w:val="32"/>
          <w:szCs w:val="32"/>
          <w:shd w:val="clear" w:color="auto" w:fill="auto"/>
          <w:lang w:val="en-US" w:eastAsia="zh-CN"/>
        </w:rPr>
      </w:pPr>
      <w:r>
        <w:rPr>
          <w:rFonts w:hint="eastAsia" w:ascii="仿宋" w:hAnsi="仿宋" w:eastAsia="仿宋" w:cs="Times New Roman"/>
          <w:b/>
          <w:bCs w:val="0"/>
          <w:spacing w:val="-4"/>
          <w:kern w:val="2"/>
          <w:sz w:val="32"/>
          <w:szCs w:val="32"/>
          <w:shd w:val="clear" w:color="auto" w:fill="auto"/>
          <w:lang w:val="en-US" w:eastAsia="zh-CN"/>
        </w:rPr>
        <w:t>1、主要经验及做法</w:t>
      </w:r>
    </w:p>
    <w:p>
      <w:pPr>
        <w:keepNext w:val="0"/>
        <w:keepLines w:val="0"/>
        <w:pageBreakBefore w:val="0"/>
        <w:kinsoku/>
        <w:wordWrap/>
        <w:overflowPunct/>
        <w:topLinePunct w:val="0"/>
        <w:autoSpaceDE/>
        <w:autoSpaceDN/>
        <w:bidi w:val="0"/>
        <w:adjustRightInd w:val="0"/>
        <w:snapToGrid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通过预算绩效管理，按时合规将资金拨付到自治区国有企业改革成本项目支出上，保障项目正常运行。</w:t>
      </w:r>
    </w:p>
    <w:p>
      <w:pPr>
        <w:keepNext w:val="0"/>
        <w:keepLines w:val="0"/>
        <w:pageBreakBefore w:val="0"/>
        <w:kinsoku/>
        <w:wordWrap/>
        <w:overflowPunct/>
        <w:topLinePunct w:val="0"/>
        <w:autoSpaceDE/>
        <w:autoSpaceDN/>
        <w:bidi w:val="0"/>
        <w:adjustRightInd w:val="0"/>
        <w:snapToGrid w:val="0"/>
        <w:spacing w:line="560" w:lineRule="exact"/>
        <w:ind w:firstLine="627" w:firstLineChars="200"/>
        <w:jc w:val="both"/>
        <w:textAlignment w:val="auto"/>
        <w:rPr>
          <w:rFonts w:hint="eastAsia" w:ascii="仿宋" w:hAnsi="仿宋" w:eastAsia="仿宋" w:cs="Times New Roman"/>
          <w:b/>
          <w:bCs w:val="0"/>
          <w:spacing w:val="-4"/>
          <w:kern w:val="2"/>
          <w:sz w:val="32"/>
          <w:szCs w:val="32"/>
          <w:shd w:val="clear" w:color="auto" w:fill="auto"/>
          <w:lang w:val="en-US" w:eastAsia="zh-CN"/>
        </w:rPr>
      </w:pPr>
      <w:r>
        <w:rPr>
          <w:rFonts w:hint="eastAsia" w:ascii="仿宋" w:hAnsi="仿宋" w:eastAsia="仿宋" w:cs="Times New Roman"/>
          <w:b/>
          <w:bCs w:val="0"/>
          <w:spacing w:val="-4"/>
          <w:kern w:val="2"/>
          <w:sz w:val="32"/>
          <w:szCs w:val="32"/>
          <w:shd w:val="clear" w:color="auto" w:fill="auto"/>
          <w:lang w:val="en-US" w:eastAsia="zh-CN"/>
        </w:rPr>
        <w:t>2、存在的问题</w:t>
      </w:r>
    </w:p>
    <w:p>
      <w:pPr>
        <w:keepNext w:val="0"/>
        <w:keepLines w:val="0"/>
        <w:pageBreakBefore w:val="0"/>
        <w:kinsoku/>
        <w:wordWrap/>
        <w:overflowPunct/>
        <w:topLinePunct w:val="0"/>
        <w:autoSpaceDE/>
        <w:autoSpaceDN/>
        <w:bidi w:val="0"/>
        <w:adjustRightInd w:val="0"/>
        <w:snapToGrid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上半年资金支出方面因地区预算批复原因，指标下达较晚，导致了资金拨付滞缓，影响了项目的进度。</w:t>
      </w:r>
    </w:p>
    <w:p>
      <w:pPr>
        <w:keepNext w:val="0"/>
        <w:keepLines w:val="0"/>
        <w:pageBreakBefore w:val="0"/>
        <w:kinsoku/>
        <w:wordWrap/>
        <w:overflowPunct/>
        <w:topLinePunct w:val="0"/>
        <w:autoSpaceDE/>
        <w:autoSpaceDN/>
        <w:bidi w:val="0"/>
        <w:adjustRightInd w:val="0"/>
        <w:snapToGrid w:val="0"/>
        <w:spacing w:line="560" w:lineRule="exact"/>
        <w:ind w:firstLine="627" w:firstLineChars="200"/>
        <w:jc w:val="both"/>
        <w:textAlignment w:val="auto"/>
        <w:rPr>
          <w:rFonts w:hint="eastAsia" w:ascii="仿宋" w:hAnsi="仿宋" w:eastAsia="仿宋" w:cs="Times New Roman"/>
          <w:b/>
          <w:bCs w:val="0"/>
          <w:spacing w:val="-4"/>
          <w:kern w:val="2"/>
          <w:sz w:val="32"/>
          <w:szCs w:val="32"/>
          <w:shd w:val="clear" w:color="auto" w:fill="auto"/>
          <w:lang w:val="en-US" w:eastAsia="zh-CN"/>
        </w:rPr>
      </w:pPr>
      <w:r>
        <w:rPr>
          <w:rFonts w:hint="eastAsia" w:ascii="仿宋" w:hAnsi="仿宋" w:eastAsia="仿宋" w:cs="Times New Roman"/>
          <w:b/>
          <w:bCs w:val="0"/>
          <w:spacing w:val="-4"/>
          <w:kern w:val="2"/>
          <w:sz w:val="32"/>
          <w:szCs w:val="32"/>
          <w:shd w:val="clear" w:color="auto" w:fill="auto"/>
          <w:lang w:val="en-US" w:eastAsia="zh-CN"/>
        </w:rPr>
        <w:t>3、建议</w:t>
      </w:r>
    </w:p>
    <w:p>
      <w:pPr>
        <w:keepNext w:val="0"/>
        <w:keepLines w:val="0"/>
        <w:pageBreakBefore w:val="0"/>
        <w:kinsoku/>
        <w:wordWrap/>
        <w:overflowPunct/>
        <w:topLinePunct w:val="0"/>
        <w:autoSpaceDE/>
        <w:autoSpaceDN/>
        <w:bidi w:val="0"/>
        <w:adjustRightInd w:val="0"/>
        <w:snapToGrid w:val="0"/>
        <w:spacing w:line="560" w:lineRule="exact"/>
        <w:ind w:firstLine="624" w:firstLineChars="200"/>
        <w:jc w:val="both"/>
        <w:textAlignment w:val="auto"/>
        <w:rPr>
          <w:rFonts w:hint="default"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下一年初做好资金计划，按照项目进度及时拨付资金，使资金使用效益最大化，减少不必要的浪费，节约成本。</w:t>
      </w:r>
    </w:p>
    <w:p>
      <w:pPr>
        <w:spacing w:line="540" w:lineRule="exact"/>
        <w:ind w:firstLine="567" w:firstLineChars="181"/>
        <w:rPr>
          <w:rFonts w:ascii="楷体" w:hAnsi="楷体" w:eastAsia="楷体"/>
          <w:b/>
          <w:spacing w:val="-4"/>
          <w:sz w:val="32"/>
          <w:szCs w:val="32"/>
          <w:highlight w:val="none"/>
        </w:rPr>
      </w:pPr>
      <w:r>
        <w:rPr>
          <w:rFonts w:hint="eastAsia" w:ascii="楷体" w:hAnsi="楷体" w:eastAsia="楷体"/>
          <w:b/>
          <w:spacing w:val="-4"/>
          <w:sz w:val="32"/>
          <w:szCs w:val="32"/>
          <w:highlight w:val="none"/>
        </w:rPr>
        <w:t>（三）其他</w:t>
      </w:r>
    </w:p>
    <w:p>
      <w:pPr>
        <w:adjustRightInd w:val="0"/>
        <w:snapToGrid w:val="0"/>
        <w:spacing w:line="560" w:lineRule="exact"/>
        <w:ind w:firstLine="624" w:firstLineChars="200"/>
        <w:rPr>
          <w:rFonts w:hint="eastAsia" w:ascii="仿宋" w:hAnsi="仿宋" w:eastAsia="仿宋"/>
          <w:color w:val="auto"/>
          <w:spacing w:val="-4"/>
          <w:sz w:val="32"/>
          <w:szCs w:val="32"/>
          <w:highlight w:val="none"/>
        </w:rPr>
      </w:pPr>
      <w:r>
        <w:rPr>
          <w:rFonts w:hint="eastAsia" w:ascii="仿宋" w:hAnsi="仿宋" w:eastAsia="仿宋"/>
          <w:color w:val="auto"/>
          <w:spacing w:val="-4"/>
          <w:sz w:val="32"/>
          <w:szCs w:val="32"/>
          <w:highlight w:val="none"/>
        </w:rPr>
        <w:t>无其他说明内容。</w:t>
      </w:r>
    </w:p>
    <w:p>
      <w:pPr>
        <w:spacing w:line="540" w:lineRule="exact"/>
        <w:ind w:firstLine="640"/>
        <w:rPr>
          <w:rStyle w:val="19"/>
          <w:rFonts w:hint="eastAsia"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六、项目评价工作情况</w:t>
      </w:r>
    </w:p>
    <w:p>
      <w:pPr>
        <w:keepNext w:val="0"/>
        <w:keepLines w:val="0"/>
        <w:pageBreakBefore w:val="0"/>
        <w:kinsoku/>
        <w:wordWrap/>
        <w:overflowPunct/>
        <w:topLinePunct w:val="0"/>
        <w:autoSpaceDE/>
        <w:autoSpaceDN/>
        <w:bidi w:val="0"/>
        <w:adjustRightInd w:val="0"/>
        <w:snapToGrid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地区国资委项目评价工作由地区国资委主要领导主抓，项目评价工作具体流程为：地区国资委财务室将严格按照财务实际支出情况形成会计资料。项目评价工作由分管单位财务领导带领地区国资委办公室按照由地区有关规定和本单位自治区国有企业改革成本项目部门预算项目支出绩效目标申报表，通过文件研读、实地调研、数据分析等方式，全面了解自治区国有企业改革成本项目资金的使用效率和效果、项目管理过程是否规范、是否完成了预期绩效目标，审核会计资料进行项目评价，形成本单位自治区国有企业改革成本项目支出绩效目标自评表初稿，报地区财政局核定后，形成本单位该项目支出绩效目标自评表。同时，通过开展自我评价来总结经验和教训，为自治区国有企业改革成本项目今后的开展提供参考建议。</w:t>
      </w:r>
    </w:p>
    <w:p>
      <w:pPr>
        <w:spacing w:line="540" w:lineRule="exact"/>
        <w:ind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七、附表</w:t>
      </w:r>
    </w:p>
    <w:p>
      <w:pPr>
        <w:spacing w:line="540" w:lineRule="exact"/>
        <w:ind w:firstLine="567"/>
        <w:rPr>
          <w:rStyle w:val="19"/>
          <w:rFonts w:ascii="仿宋" w:hAnsi="仿宋" w:eastAsia="仿宋"/>
          <w:b w:val="0"/>
          <w:spacing w:val="-4"/>
          <w:sz w:val="32"/>
          <w:szCs w:val="32"/>
          <w:highlight w:val="none"/>
        </w:rPr>
      </w:pPr>
      <w:r>
        <w:rPr>
          <w:rStyle w:val="19"/>
          <w:rFonts w:hint="eastAsia" w:ascii="仿宋" w:hAnsi="仿宋" w:eastAsia="仿宋"/>
          <w:b w:val="0"/>
          <w:spacing w:val="-4"/>
          <w:sz w:val="32"/>
          <w:szCs w:val="32"/>
          <w:highlight w:val="none"/>
        </w:rPr>
        <w:t>《</w:t>
      </w:r>
      <w:r>
        <w:rPr>
          <w:rStyle w:val="19"/>
          <w:rFonts w:hint="eastAsia" w:ascii="仿宋" w:hAnsi="仿宋" w:eastAsia="仿宋"/>
          <w:b w:val="0"/>
          <w:spacing w:val="-4"/>
          <w:sz w:val="32"/>
          <w:szCs w:val="32"/>
          <w:highlight w:val="none"/>
          <w:lang w:val="en-US" w:eastAsia="zh-CN"/>
        </w:rPr>
        <w:t>喀什地区</w:t>
      </w:r>
      <w:r>
        <w:rPr>
          <w:rStyle w:val="19"/>
          <w:rFonts w:hint="eastAsia" w:ascii="仿宋" w:hAnsi="仿宋" w:eastAsia="仿宋"/>
          <w:b w:val="0"/>
          <w:spacing w:val="-4"/>
          <w:sz w:val="32"/>
          <w:szCs w:val="32"/>
          <w:highlight w:val="none"/>
        </w:rPr>
        <w:t>财政项目支出绩效自评表》</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7A"/>
    <w:family w:val="auto"/>
    <w:pitch w:val="default"/>
    <w:sig w:usb0="00000287" w:usb1="080F0000" w:usb2="00000000" w:usb3="00000000" w:csb0="0004009F" w:csb1="DFD70000"/>
  </w:font>
  <w:font w:name="方正小标宋_GBK">
    <w:altName w:val="微软雅黑"/>
    <w:panose1 w:val="00000000000000000000"/>
    <w:charset w:val="7A"/>
    <w:family w:val="script"/>
    <w:pitch w:val="default"/>
    <w:sig w:usb0="00000000" w:usb1="00000000" w:usb2="00000010" w:usb3="00000000" w:csb0="00040000" w:csb1="00000000"/>
  </w:font>
  <w:font w:name="仿宋_GB2312">
    <w:altName w:val="仿宋"/>
    <w:panose1 w:val="02010609030101010101"/>
    <w:charset w:val="7A"/>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微软雅黑">
    <w:panose1 w:val="020B0503020204020204"/>
    <w:charset w:val="7A"/>
    <w:family w:val="script"/>
    <w:pitch w:val="default"/>
    <w:sig w:usb0="80000287" w:usb1="2ACF3C50" w:usb2="00000016" w:usb3="00000000" w:csb0="0004001F" w:csb1="00000000"/>
  </w:font>
  <w:font w:name="仿宋">
    <w:panose1 w:val="02010609060101010101"/>
    <w:charset w:val="7A"/>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21AE4"/>
    <w:rsid w:val="00136BCC"/>
    <w:rsid w:val="00146AAD"/>
    <w:rsid w:val="001B23F1"/>
    <w:rsid w:val="001B3A40"/>
    <w:rsid w:val="00220617"/>
    <w:rsid w:val="00311626"/>
    <w:rsid w:val="00321CBD"/>
    <w:rsid w:val="00347D87"/>
    <w:rsid w:val="003C2CF9"/>
    <w:rsid w:val="004366A8"/>
    <w:rsid w:val="00502BA7"/>
    <w:rsid w:val="005162F1"/>
    <w:rsid w:val="00535153"/>
    <w:rsid w:val="00554F82"/>
    <w:rsid w:val="0056390D"/>
    <w:rsid w:val="005719B0"/>
    <w:rsid w:val="005D10D6"/>
    <w:rsid w:val="0063597F"/>
    <w:rsid w:val="00656E69"/>
    <w:rsid w:val="007A593B"/>
    <w:rsid w:val="007D32F0"/>
    <w:rsid w:val="007E6716"/>
    <w:rsid w:val="00855E3A"/>
    <w:rsid w:val="008E6B23"/>
    <w:rsid w:val="008F2612"/>
    <w:rsid w:val="00922CB9"/>
    <w:rsid w:val="0099379F"/>
    <w:rsid w:val="009E5CD9"/>
    <w:rsid w:val="00A26421"/>
    <w:rsid w:val="00A4293B"/>
    <w:rsid w:val="00A67D50"/>
    <w:rsid w:val="00A8691A"/>
    <w:rsid w:val="00AA78D4"/>
    <w:rsid w:val="00AC1946"/>
    <w:rsid w:val="00B40063"/>
    <w:rsid w:val="00B41F61"/>
    <w:rsid w:val="00BA2447"/>
    <w:rsid w:val="00BA46E6"/>
    <w:rsid w:val="00BF7355"/>
    <w:rsid w:val="00C56C72"/>
    <w:rsid w:val="00C87A8E"/>
    <w:rsid w:val="00C95952"/>
    <w:rsid w:val="00CA6457"/>
    <w:rsid w:val="00CB0722"/>
    <w:rsid w:val="00D17F2E"/>
    <w:rsid w:val="00D30354"/>
    <w:rsid w:val="00D35A5E"/>
    <w:rsid w:val="00DD1016"/>
    <w:rsid w:val="00DF42A0"/>
    <w:rsid w:val="00E32AE0"/>
    <w:rsid w:val="00E564B5"/>
    <w:rsid w:val="00E769FE"/>
    <w:rsid w:val="00EA2CBE"/>
    <w:rsid w:val="00F32FEE"/>
    <w:rsid w:val="00FB10BB"/>
    <w:rsid w:val="00FC3B55"/>
    <w:rsid w:val="00FE11B9"/>
    <w:rsid w:val="02E37DE9"/>
    <w:rsid w:val="0D5D5A45"/>
    <w:rsid w:val="169E248D"/>
    <w:rsid w:val="17E421EC"/>
    <w:rsid w:val="1A8A3D59"/>
    <w:rsid w:val="263A4BD7"/>
    <w:rsid w:val="28D675A6"/>
    <w:rsid w:val="29FA6764"/>
    <w:rsid w:val="33DC2F37"/>
    <w:rsid w:val="347362C2"/>
    <w:rsid w:val="35F24E58"/>
    <w:rsid w:val="376220E2"/>
    <w:rsid w:val="38752173"/>
    <w:rsid w:val="39B96632"/>
    <w:rsid w:val="3BFF5691"/>
    <w:rsid w:val="41BF3B2C"/>
    <w:rsid w:val="48940C46"/>
    <w:rsid w:val="4C082AC7"/>
    <w:rsid w:val="50594078"/>
    <w:rsid w:val="526727BE"/>
    <w:rsid w:val="52A34A68"/>
    <w:rsid w:val="546D4B1B"/>
    <w:rsid w:val="61C95539"/>
    <w:rsid w:val="63E00269"/>
    <w:rsid w:val="66F45E6D"/>
    <w:rsid w:val="695B2875"/>
    <w:rsid w:val="6D5B6139"/>
    <w:rsid w:val="6E18614B"/>
    <w:rsid w:val="6F1E73F5"/>
    <w:rsid w:val="71E143F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Intense Emphasis"/>
    <w:basedOn w:val="18"/>
    <w:qFormat/>
    <w:uiPriority w:val="21"/>
    <w:rPr>
      <w:b/>
      <w:i/>
      <w:sz w:val="24"/>
      <w:szCs w:val="24"/>
      <w:u w:val="single"/>
    </w:rPr>
  </w:style>
  <w:style w:type="character" w:customStyle="1" w:styleId="40">
    <w:name w:val="Subtle Reference"/>
    <w:basedOn w:val="18"/>
    <w:qFormat/>
    <w:uiPriority w:val="31"/>
    <w:rPr>
      <w:sz w:val="24"/>
      <w:szCs w:val="24"/>
      <w:u w:val="single"/>
    </w:rPr>
  </w:style>
  <w:style w:type="character" w:customStyle="1" w:styleId="41">
    <w:name w:val="Intense Reference"/>
    <w:basedOn w:val="18"/>
    <w:qFormat/>
    <w:uiPriority w:val="32"/>
    <w:rPr>
      <w:b/>
      <w:sz w:val="24"/>
      <w:u w:val="single"/>
    </w:rPr>
  </w:style>
  <w:style w:type="character" w:customStyle="1" w:styleId="42">
    <w:name w:val="Book Title"/>
    <w:basedOn w:val="18"/>
    <w:qFormat/>
    <w:uiPriority w:val="33"/>
    <w:rPr>
      <w:rFonts w:asciiTheme="majorHAnsi" w:hAnsiTheme="majorHAnsi" w:eastAsiaTheme="majorEastAsia"/>
      <w:b/>
      <w:i/>
      <w:sz w:val="24"/>
      <w:szCs w:val="24"/>
    </w:rPr>
  </w:style>
  <w:style w:type="paragraph" w:customStyle="1" w:styleId="43">
    <w:name w:val="TOC Heading"/>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paragraph" w:customStyle="1" w:styleId="47">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416</Words>
  <Characters>2377</Characters>
  <Lines>19</Lines>
  <Paragraphs>5</Paragraphs>
  <TotalTime>31</TotalTime>
  <ScaleCrop>false</ScaleCrop>
  <LinksUpToDate>false</LinksUpToDate>
  <CharactersWithSpaces>2788</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Apple</cp:lastModifiedBy>
  <cp:lastPrinted>2018-12-31T10:56:00Z</cp:lastPrinted>
  <dcterms:modified xsi:type="dcterms:W3CDTF">2020-09-05T09:13:22Z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