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  <w:bookmarkEnd w:id="8"/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国资委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line="700" w:lineRule="exact"/>
        <w:jc w:val="left"/>
        <w:rPr>
          <w:rFonts w:hint="eastAsia" w:ascii="仿宋" w:hAnsi="仿宋" w:eastAsia="仿宋" w:cs="仿宋"/>
          <w:kern w:val="0"/>
          <w:sz w:val="36"/>
          <w:szCs w:val="36"/>
          <w:highlight w:val="none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地直关闭破产企业退管办工作经费项目</w:t>
      </w: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</w:t>
      </w:r>
    </w:p>
    <w:p>
      <w:pPr>
        <w:spacing w:line="700" w:lineRule="exact"/>
        <w:ind w:left="1080" w:hanging="1068" w:hangingChars="300"/>
        <w:jc w:val="left"/>
        <w:rPr>
          <w:rFonts w:hint="eastAsia" w:ascii="仿宋" w:hAnsi="仿宋" w:eastAsia="仿宋" w:cs="仿宋"/>
          <w:kern w:val="0"/>
          <w:sz w:val="36"/>
          <w:szCs w:val="36"/>
          <w:highlight w:val="none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</w:rPr>
        <w:t>喀什地区国有资产监督管理委员会</w:t>
      </w:r>
    </w:p>
    <w:p>
      <w:pPr>
        <w:spacing w:line="700" w:lineRule="exact"/>
        <w:ind w:left="1080" w:hanging="1068" w:hangingChars="300"/>
        <w:jc w:val="left"/>
        <w:rPr>
          <w:rFonts w:hint="eastAsia" w:ascii="仿宋" w:hAnsi="仿宋" w:eastAsia="仿宋" w:cs="仿宋"/>
          <w:kern w:val="0"/>
          <w:sz w:val="36"/>
          <w:szCs w:val="36"/>
          <w:highlight w:val="none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" w:hAnsi="仿宋" w:eastAsia="仿宋" w:cs="仿宋"/>
          <w:kern w:val="0"/>
          <w:sz w:val="36"/>
          <w:szCs w:val="36"/>
          <w:highlight w:val="none"/>
        </w:rPr>
        <w:t>喀什地区国有资产监督管理委员会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4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jc w:val="both"/>
        <w:textAlignment w:val="auto"/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喀什地区国有资产监督管理委员会，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（喀地国资发【2012】14号）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文件要求，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地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直关闭破产企业退管办工作经费支出，主要用于9个退管办人员的待遇，保持了退管办工作的运行。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pStyle w:val="18"/>
        <w:numPr>
          <w:ilvl w:val="0"/>
          <w:numId w:val="0"/>
        </w:numPr>
        <w:spacing w:before="156" w:beforeLines="50" w:line="600" w:lineRule="exact"/>
        <w:ind w:firstLine="624" w:firstLineChars="200"/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（喀地国资发【2012】14号）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文件要求，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地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直关闭破产企业退管办工作经费支出，主要用于9个退管办人员的待遇，保持了退管办工作的运行。</w:t>
      </w:r>
    </w:p>
    <w:p>
      <w:pPr>
        <w:pStyle w:val="18"/>
        <w:numPr>
          <w:ilvl w:val="0"/>
          <w:numId w:val="0"/>
        </w:num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项目实施前进行充分调研，制定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《喀什地区国有资产监督管理委员会项目管理内部控制制度》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实施方案，项目实施过程中严格按照实施方案进行实施并及时进行监督管理，项目实施后进行及时验收及后期维护。</w:t>
      </w:r>
    </w:p>
    <w:p>
      <w:pPr>
        <w:pStyle w:val="24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22.68万元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，资金来源为本级部门预算。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2019年实际收到预算资金22.68万元，资金到位率为100%。</w:t>
      </w:r>
    </w:p>
    <w:p>
      <w:pPr>
        <w:spacing w:line="700" w:lineRule="exact"/>
        <w:jc w:val="left"/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地直关闭破产企业退管办工作经费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项资金的使用范围：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项目资金主要用于9个退管办人员的待遇，保持了退管办工作的运行。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喀什地区国有资产监督管理委员会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制定了</w:t>
      </w:r>
      <w:r>
        <w:rPr>
          <w:rStyle w:val="15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《喀什地区国有资产监督管理委员会财务会计制度》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bidi="ar"/>
        </w:rPr>
        <w:t>资金管理办法，按照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（喀署发【2010】29号）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bidi="ar"/>
        </w:rPr>
        <w:t>文件进行使用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 w:bidi="ar"/>
        </w:rPr>
        <w:t>。</w:t>
      </w:r>
    </w:p>
    <w:p>
      <w:pPr>
        <w:pStyle w:val="24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保障了9个退管办人员的待遇，保持了退管办工作的行，维护了关闭破产企业职工的，保障了关闭破产企业的大局。</w:t>
      </w:r>
    </w:p>
    <w:p>
      <w:pPr>
        <w:spacing w:before="156" w:beforeLines="50" w:line="600" w:lineRule="exact"/>
        <w:ind w:firstLine="640" w:firstLineChars="200"/>
        <w:rPr>
          <w:rFonts w:hint="eastAsia" w:ascii="仿宋" w:hAnsi="仿宋" w:eastAsia="仿宋" w:cs="Times New Roman"/>
          <w:bCs/>
          <w:color w:val="auto"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阶段性目标为：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每月按时发放退管办工作人员工资，保证他们基本权益。做到资金发放率100%。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atLeast"/>
        <w:ind w:firstLine="640" w:firstLineChars="200"/>
        <w:jc w:val="left"/>
        <w:textAlignment w:val="auto"/>
        <w:outlineLvl w:val="9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二级指标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个，三级指标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个，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绩效目标申报表详见附件1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关爱企业退休人员工作经费项目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项目实施前期、过程及效果，评价财政预算资金使用的效率及效益。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line="700" w:lineRule="exact"/>
        <w:jc w:val="left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地直关闭破产企业退管办工作经费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rFonts w:hint="eastAsia" w:eastAsia="仿宋_GB2312"/>
          <w:b w:val="0"/>
          <w:lang w:eastAsia="zh-CN"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</w:t>
      </w:r>
      <w:r>
        <w:rPr>
          <w:rFonts w:hint="eastAsia"/>
          <w:b w:val="0"/>
          <w:lang w:val="en-US" w:eastAsia="zh-CN" w:bidi="ar"/>
        </w:rPr>
        <w:t>,</w:t>
      </w:r>
      <w:r>
        <w:rPr>
          <w:rFonts w:hint="eastAsia"/>
          <w:b w:val="0"/>
          <w:lang w:eastAsia="zh-CN" w:bidi="ar"/>
        </w:rPr>
        <w:t>详见附件</w:t>
      </w:r>
      <w:r>
        <w:rPr>
          <w:rFonts w:hint="eastAsia"/>
          <w:b w:val="0"/>
          <w:lang w:val="en-US" w:eastAsia="zh-CN" w:bidi="ar"/>
        </w:rPr>
        <w:t>4。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本次绩效评价方法的选用坚持简便有效的原则采用成本效益分析法、比较法、因素分析法、问卷调查法、综合分析法。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rFonts w:hint="eastAsia" w:eastAsia="仿宋_GB2312"/>
          <w:lang w:eastAsia="zh-CN"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计划标准</w:t>
      </w:r>
      <w:r>
        <w:rPr>
          <w:rFonts w:hint="eastAsia"/>
          <w:bCs w:val="0"/>
          <w:lang w:eastAsia="zh-CN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本次评价成立了评价，成员如下：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刘仕宁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both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喀什地区国资委党委书记、副主任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陶万峰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tabs>
                <w:tab w:val="left" w:pos="360"/>
              </w:tabs>
              <w:spacing w:line="240" w:lineRule="atLeast"/>
              <w:jc w:val="left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ab/>
            </w:r>
            <w:r>
              <w:rPr>
                <w:rFonts w:hint="eastAsia"/>
                <w:b w:val="0"/>
                <w:bCs w:val="0"/>
                <w:lang w:eastAsia="zh-CN" w:bidi="ar"/>
              </w:rPr>
              <w:t>喀什地区国资委党委委员、副主任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ind w:firstLine="640" w:firstLineChars="200"/>
              <w:jc w:val="both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王正乐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喀什地区行政办公室副主任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auto"/>
          <w:highlight w:val="none"/>
          <w:lang w:bidi="ar"/>
        </w:rPr>
      </w:pPr>
      <w:bookmarkStart w:id="7" w:name="_Toc26401558"/>
      <w:r>
        <w:rPr>
          <w:rFonts w:hint="eastAsia" w:ascii="黑体" w:hAnsi="黑体"/>
          <w:color w:val="auto"/>
          <w:highlight w:val="none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color w:val="auto"/>
          <w:kern w:val="2"/>
          <w:highlight w:val="none"/>
          <w:lang w:bidi="ar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color w:val="auto"/>
          <w:kern w:val="2"/>
          <w:highlight w:val="none"/>
          <w:lang w:val="en-US" w:eastAsia="zh-CN" w:bidi="ar"/>
        </w:rPr>
        <w:t>98</w:t>
      </w:r>
      <w:r>
        <w:rPr>
          <w:rFonts w:hint="eastAsia" w:ascii="仿宋_GB2312" w:eastAsia="仿宋_GB2312" w:hAnsiTheme="majorHAnsi"/>
          <w:b w:val="0"/>
          <w:bCs w:val="0"/>
          <w:color w:val="auto"/>
          <w:kern w:val="2"/>
          <w:highlight w:val="none"/>
          <w:lang w:bidi="ar"/>
        </w:rPr>
        <w:t>分，评价结果为优，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详见附件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本项目的立项符合相关法规政策及部门职责，依据充分；项目按照规定的程序申请设立；审批文件、材料符合相关要求；项目前期已过必要的可行性研究、专家论证、风险评估、绩效评估、集体决策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地区国资委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已制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bidi="ar"/>
        </w:rPr>
        <w:t>定</w:t>
      </w:r>
      <w:r>
        <w:rPr>
          <w:rStyle w:val="15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《喀什地区国有资产监督管理委员会财务会计制度》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9户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9户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26人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项目产出质量为发放工资补助的退管办工作人员覆盖率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项目产出时效为发放工资补助的退管办工作人员覆盖率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shd w:val="clear" w:color="auto" w:fill="auto"/>
          <w:lang w:val="en-US" w:eastAsia="zh-CN"/>
        </w:rPr>
        <w:t>退管办主任工资补助标准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指标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800元/月/人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800元/月/人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800元/月/人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退管办一般工作人员工资补助标准指标700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元/月/人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700元/月/人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700元/月/人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退管办工作人员生活水平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有效改善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退管办工作人员工资补助政策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指标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长期执行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项目收益群众满意度为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95%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：达到了预期目标。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rFonts w:hint="eastAsia" w:eastAsia="仿宋_GB2312"/>
          <w:b w:val="0"/>
          <w:lang w:eastAsia="zh-CN" w:bidi="ar"/>
        </w:rPr>
      </w:pPr>
      <w:r>
        <w:rPr>
          <w:rFonts w:hint="eastAsia"/>
          <w:b w:val="0"/>
          <w:lang w:bidi="ar"/>
        </w:rPr>
        <w:t>本项目实施效果较好的原因主要是管理制度完善、责任落实到位，跟踪考核机制完善且运行有效，在项目实施过程中创新管理办法，采用</w:t>
      </w:r>
      <w:r>
        <w:rPr>
          <w:rFonts w:hint="eastAsia"/>
          <w:b w:val="0"/>
          <w:lang w:eastAsia="zh-CN" w:bidi="ar"/>
        </w:rPr>
        <w:t>制定《喀什地区国有资产监督管理委员会项目实施管理办法》的</w:t>
      </w:r>
      <w:r>
        <w:rPr>
          <w:rFonts w:hint="eastAsia"/>
          <w:b w:val="0"/>
          <w:lang w:bidi="ar"/>
        </w:rPr>
        <w:t>方式使项目取得了良好的效果</w:t>
      </w:r>
      <w:r>
        <w:rPr>
          <w:rFonts w:hint="eastAsia"/>
          <w:b w:val="0"/>
          <w:lang w:eastAsia="zh-CN" w:bidi="ar"/>
        </w:rPr>
        <w:t>。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20" w:firstLineChars="200"/>
        <w:jc w:val="both"/>
        <w:textAlignment w:val="auto"/>
        <w:outlineLvl w:val="9"/>
        <w:rPr>
          <w:b w:val="0"/>
          <w:lang w:bidi="ar"/>
        </w:rPr>
      </w:pPr>
      <w:r>
        <w:rPr>
          <w:rFonts w:hint="eastAsia"/>
          <w:b w:val="0"/>
          <w:lang w:bidi="ar"/>
        </w:rPr>
        <w:t xml:space="preserve"> </w:t>
      </w:r>
      <w:r>
        <w:rPr>
          <w:b w:val="0"/>
          <w:lang w:bidi="ar"/>
        </w:rPr>
        <w:t xml:space="preserve">   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上半年资金支出方面因地区预算批复原因，指标下达较晚，导致了资金拨付滞缓，影响了项目的进度。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20" w:firstLineChars="200"/>
        <w:jc w:val="both"/>
        <w:textAlignment w:val="auto"/>
        <w:outlineLvl w:val="9"/>
        <w:rPr>
          <w:rFonts w:hint="default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</w:t>
      </w:r>
      <w:r>
        <w:rPr>
          <w:rFonts w:hint="eastAsia" w:ascii="仿宋" w:hAnsi="仿宋" w:eastAsia="仿宋" w:cs="Times New Roman"/>
          <w:bCs/>
          <w:spacing w:val="-4"/>
          <w:kern w:val="2"/>
          <w:sz w:val="32"/>
          <w:szCs w:val="32"/>
          <w:highlight w:val="none"/>
          <w:shd w:val="clear" w:color="auto" w:fill="auto"/>
          <w:lang w:val="en-US" w:eastAsia="zh-CN"/>
        </w:rPr>
        <w:t>下一年初做好资金计划，按照项目进度及时拨付资金，使资金使用效益最大化，减少不必要的浪费，节约成本。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22"/>
        <w:numPr>
          <w:ilvl w:val="0"/>
          <w:numId w:val="0"/>
        </w:numPr>
        <w:ind w:left="643" w:left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黑体" w:hAnsi="黑体"/>
          <w:b w:val="0"/>
          <w:bCs w:val="0"/>
          <w:lang w:val="en-US" w:eastAsia="zh-CN"/>
        </w:rPr>
        <w:t xml:space="preserve">  无</w:t>
      </w:r>
    </w:p>
    <w:p>
      <w:pPr>
        <w:spacing w:before="156" w:beforeLines="50" w:line="600" w:lineRule="exact"/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地直关闭破产企业退管办工作经费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line="700" w:lineRule="exact"/>
        <w:jc w:val="left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地直关闭破产企业退管办工作经费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line="700" w:lineRule="exact"/>
        <w:jc w:val="left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地直关闭破产企业退管办工作经费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="156" w:beforeLines="50" w:line="600" w:lineRule="exact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附件4：绩效评价依据</w:t>
      </w:r>
    </w:p>
    <w:p>
      <w:pPr>
        <w:spacing w:line="700" w:lineRule="exact"/>
        <w:jc w:val="left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附件5：喀什地区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国有资产监督管理委员会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地直关闭破产企业退管办工作经费项目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A291673"/>
    <w:rsid w:val="12FC5205"/>
    <w:rsid w:val="18BC37D5"/>
    <w:rsid w:val="197232A4"/>
    <w:rsid w:val="24E73B1F"/>
    <w:rsid w:val="25F33965"/>
    <w:rsid w:val="26844FB8"/>
    <w:rsid w:val="26F03C06"/>
    <w:rsid w:val="299F5AAA"/>
    <w:rsid w:val="2A547683"/>
    <w:rsid w:val="2B1B510C"/>
    <w:rsid w:val="317578CF"/>
    <w:rsid w:val="353C700D"/>
    <w:rsid w:val="37440B7B"/>
    <w:rsid w:val="37816339"/>
    <w:rsid w:val="3B1B119B"/>
    <w:rsid w:val="3B714A52"/>
    <w:rsid w:val="3E560E77"/>
    <w:rsid w:val="43CC4C84"/>
    <w:rsid w:val="45122E20"/>
    <w:rsid w:val="4D43157F"/>
    <w:rsid w:val="4E9A1E54"/>
    <w:rsid w:val="51776F5B"/>
    <w:rsid w:val="579225FD"/>
    <w:rsid w:val="58495741"/>
    <w:rsid w:val="5A18358B"/>
    <w:rsid w:val="5CEA360D"/>
    <w:rsid w:val="5FB45E81"/>
    <w:rsid w:val="66220049"/>
    <w:rsid w:val="667765BF"/>
    <w:rsid w:val="6D8F6942"/>
    <w:rsid w:val="6E8E6E8F"/>
    <w:rsid w:val="71C8200B"/>
    <w:rsid w:val="73012EE6"/>
    <w:rsid w:val="73444B33"/>
    <w:rsid w:val="7775238E"/>
    <w:rsid w:val="792A6B8A"/>
    <w:rsid w:val="7A8638D9"/>
    <w:rsid w:val="7CEB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标题 1 字符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字符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字符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1</TotalTime>
  <ScaleCrop>false</ScaleCrop>
  <LinksUpToDate>false</LinksUpToDate>
  <CharactersWithSpaces>6006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Apple</cp:lastModifiedBy>
  <dcterms:modified xsi:type="dcterms:W3CDTF">2020-09-05T09:13:02Z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