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highlight w:val="none"/>
        </w:rPr>
      </w:pPr>
      <w:bookmarkStart w:id="0" w:name="_GoBack"/>
      <w:bookmarkEnd w:id="0"/>
    </w:p>
    <w:p>
      <w:pPr>
        <w:spacing w:line="540" w:lineRule="exact"/>
        <w:jc w:val="center"/>
        <w:rPr>
          <w:rFonts w:ascii="仿宋" w:hAnsi="仿宋" w:eastAsia="仿宋" w:cs="宋体"/>
          <w:kern w:val="0"/>
          <w:sz w:val="32"/>
          <w:szCs w:val="3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r>
        <w:rPr>
          <w:rFonts w:hint="eastAsia" w:ascii="华文中宋" w:hAnsi="华文中宋" w:eastAsia="华文中宋" w:cs="宋体"/>
          <w:b/>
          <w:kern w:val="0"/>
          <w:sz w:val="52"/>
          <w:szCs w:val="52"/>
          <w:highlight w:val="none"/>
        </w:rPr>
        <w:t>喀什地区国资委2019年工作经费（第二批）为民办实事经费（1大）绩效评价报告</w:t>
      </w:r>
    </w:p>
    <w:p>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w:t>
      </w:r>
      <w:r>
        <w:rPr>
          <w:rFonts w:hint="eastAsia" w:hAnsi="宋体" w:eastAsia="仿宋_GB2312" w:cs="宋体"/>
          <w:kern w:val="0"/>
          <w:sz w:val="36"/>
          <w:szCs w:val="36"/>
          <w:highlight w:val="none"/>
          <w:lang w:val="en-US" w:eastAsia="zh-CN"/>
        </w:rPr>
        <w:t>2019</w:t>
      </w:r>
      <w:r>
        <w:rPr>
          <w:rFonts w:hint="eastAsia" w:hAnsi="宋体" w:eastAsia="仿宋_GB2312" w:cs="宋体"/>
          <w:kern w:val="0"/>
          <w:sz w:val="36"/>
          <w:szCs w:val="36"/>
          <w:highlight w:val="none"/>
        </w:rPr>
        <w:t>年度）</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项目名称：</w:t>
      </w:r>
      <w:r>
        <w:rPr>
          <w:rFonts w:hint="eastAsia" w:ascii="仿宋" w:hAnsi="仿宋" w:eastAsia="仿宋" w:cs="仿宋"/>
          <w:kern w:val="0"/>
          <w:sz w:val="36"/>
          <w:szCs w:val="36"/>
          <w:highlight w:val="none"/>
          <w:lang w:eastAsia="zh-CN"/>
        </w:rPr>
        <w:t>下半年工作经费（为民办实事经费）项目</w:t>
      </w:r>
    </w:p>
    <w:p>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实施单位（公章）：喀什地区国有资产监督管理委员会</w:t>
      </w:r>
    </w:p>
    <w:p>
      <w:pPr>
        <w:spacing w:line="700" w:lineRule="exact"/>
        <w:ind w:firstLine="720" w:firstLineChars="200"/>
        <w:jc w:val="left"/>
        <w:rPr>
          <w:rFonts w:hAnsi="宋体" w:eastAsia="仿宋_GB2312" w:cs="宋体"/>
          <w:kern w:val="0"/>
          <w:sz w:val="36"/>
          <w:szCs w:val="36"/>
          <w:highlight w:val="none"/>
        </w:rPr>
      </w:pPr>
      <w:r>
        <w:rPr>
          <w:rFonts w:hint="eastAsia" w:hAnsi="宋体" w:eastAsia="仿宋_GB2312" w:cs="宋体"/>
          <w:kern w:val="0"/>
          <w:sz w:val="36"/>
          <w:szCs w:val="36"/>
          <w:highlight w:val="none"/>
        </w:rPr>
        <w:t>主管部门（公章）：喀什地区国有资产监督管理委员会</w:t>
      </w:r>
    </w:p>
    <w:p>
      <w:pPr>
        <w:spacing w:line="700" w:lineRule="exact"/>
        <w:ind w:firstLine="849" w:firstLineChars="236"/>
        <w:jc w:val="left"/>
        <w:rPr>
          <w:rFonts w:hAnsi="宋体" w:eastAsia="仿宋_GB2312" w:cs="宋体"/>
          <w:kern w:val="0"/>
          <w:sz w:val="36"/>
          <w:szCs w:val="36"/>
          <w:highlight w:val="none"/>
        </w:rPr>
      </w:pPr>
    </w:p>
    <w:p>
      <w:pPr>
        <w:spacing w:line="700" w:lineRule="exact"/>
        <w:ind w:firstLine="849" w:firstLineChars="236"/>
        <w:jc w:val="left"/>
        <w:rPr>
          <w:rFonts w:hint="eastAsia" w:hAnsi="宋体" w:eastAsia="仿宋_GB2312" w:cs="宋体"/>
          <w:kern w:val="0"/>
          <w:sz w:val="36"/>
          <w:szCs w:val="36"/>
          <w:highlight w:val="none"/>
          <w:lang w:val="en-US" w:eastAsia="zh-CN"/>
        </w:rPr>
      </w:pPr>
      <w:r>
        <w:rPr>
          <w:rFonts w:hint="eastAsia" w:hAnsi="宋体" w:eastAsia="仿宋_GB2312" w:cs="宋体"/>
          <w:kern w:val="0"/>
          <w:sz w:val="36"/>
          <w:szCs w:val="36"/>
          <w:highlight w:val="none"/>
        </w:rPr>
        <w:t>项目负责人（签章）：</w:t>
      </w:r>
      <w:r>
        <w:rPr>
          <w:rFonts w:hint="eastAsia" w:hAnsi="宋体" w:eastAsia="仿宋_GB2312" w:cs="宋体"/>
          <w:kern w:val="0"/>
          <w:sz w:val="36"/>
          <w:szCs w:val="36"/>
          <w:highlight w:val="none"/>
          <w:lang w:eastAsia="zh-CN"/>
        </w:rPr>
        <w:t>刘仕宁</w:t>
      </w:r>
    </w:p>
    <w:p>
      <w:pPr>
        <w:spacing w:line="700" w:lineRule="exact"/>
        <w:ind w:firstLine="849" w:firstLineChars="236"/>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填报时间：  </w:t>
      </w:r>
      <w:r>
        <w:rPr>
          <w:rFonts w:hint="eastAsia" w:hAnsi="宋体" w:eastAsia="仿宋_GB2312" w:cs="宋体"/>
          <w:kern w:val="0"/>
          <w:sz w:val="36"/>
          <w:szCs w:val="36"/>
          <w:highlight w:val="none"/>
          <w:lang w:val="en-US" w:eastAsia="zh-CN"/>
        </w:rPr>
        <w:t>2020</w:t>
      </w:r>
      <w:r>
        <w:rPr>
          <w:rFonts w:hint="eastAsia" w:hAnsi="宋体" w:eastAsia="仿宋_GB2312" w:cs="宋体"/>
          <w:kern w:val="0"/>
          <w:sz w:val="36"/>
          <w:szCs w:val="36"/>
          <w:highlight w:val="none"/>
        </w:rPr>
        <w:t>年</w:t>
      </w:r>
      <w:r>
        <w:rPr>
          <w:rFonts w:hint="eastAsia" w:hAnsi="宋体" w:eastAsia="仿宋_GB2312" w:cs="宋体"/>
          <w:kern w:val="0"/>
          <w:sz w:val="36"/>
          <w:szCs w:val="36"/>
          <w:highlight w:val="none"/>
          <w:lang w:val="en-US" w:eastAsia="zh-CN"/>
        </w:rPr>
        <w:t>4</w:t>
      </w:r>
      <w:r>
        <w:rPr>
          <w:rFonts w:hint="eastAsia" w:hAnsi="宋体" w:eastAsia="仿宋_GB2312" w:cs="宋体"/>
          <w:kern w:val="0"/>
          <w:sz w:val="36"/>
          <w:szCs w:val="36"/>
          <w:highlight w:val="none"/>
        </w:rPr>
        <w:t>月</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一、项目概况</w:t>
      </w:r>
    </w:p>
    <w:p>
      <w:pPr>
        <w:spacing w:line="540" w:lineRule="exact"/>
        <w:ind w:firstLine="567"/>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（一）项目单位基本情况</w:t>
      </w:r>
    </w:p>
    <w:p>
      <w:pPr>
        <w:pStyle w:val="47"/>
        <w:keepNext w:val="0"/>
        <w:keepLines w:val="0"/>
        <w:pageBreakBefore w:val="0"/>
        <w:kinsoku/>
        <w:wordWrap/>
        <w:overflowPunct/>
        <w:topLinePunct w:val="0"/>
        <w:autoSpaceDE/>
        <w:autoSpaceDN/>
        <w:bidi w:val="0"/>
        <w:spacing w:line="560" w:lineRule="atLeas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根据自治区党委办公厅、自治区人民政府办公厅《关于印发喀什地区行政公署机构改革方案的通知》（新党厅字[2011]55号），设立喀什地区国有资产监督管理委员会（以下简称地区国有资产监督管理委员会），为喀什地区行政公署工作部门。一、主要职责（一）依法履行国有资产出资人职责，维护所有者的权益；依法对企业国有资产进行监督管理；对国有资产的保值增值情况进行监管，健全和完善国有资产保值增值指标体系；对地直国有企业、国有控股企业、国有资产进行管理；推进所监管企业的现代企业制度建设，完善公司法人治理结构；推进国有经济结构和布局的战略性调整；负责管理和盘活破产企业的资产。（二）负责对企业党的建设、思想政治工作。（三）通过法定程序对自治区、地区党委授权管理的企业领导人员进行任免、考核、奖惩；建立符合现代企业制度要求的选人、用人机制，完善经营者激励和约束制度。（四）通过统计、稽核等方式对所监管企业国有资产的保值增值指标体系，拟定考核标准；维护国有资产出资人的权益。（五）研究制订地区国有资产总体发展规划；指导推进国有企业改革和重组。负责企业国有资产流失查处和产权纠纷调处工作。（六）代表行署向部分区属重点国有企业派出监事会，负责监事会日常管理。（七）依法对县、市的国有资产监督管理工作进行指导和监督。 （八）承办地委、行署交办的其他事项。</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区国有资产监督管理委员会设4个内设机构（行政办公室、企业党务工作科、产权管理科、统计监督科）。地区国有资产监督管理委员会编制人数15人，其中：行政人员编制13人，工勤编制2人；实有在职人数16人，其中：行政在职14人，工勤在职人数 2人。</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（二）项目预算</w:t>
      </w:r>
      <w:r>
        <w:rPr>
          <w:rStyle w:val="19"/>
          <w:rFonts w:ascii="楷体" w:hAnsi="楷体" w:eastAsia="楷体"/>
          <w:spacing w:val="-4"/>
          <w:sz w:val="32"/>
          <w:szCs w:val="32"/>
          <w:highlight w:val="none"/>
        </w:rPr>
        <w:t>绩效目标</w:t>
      </w:r>
      <w:r>
        <w:rPr>
          <w:rStyle w:val="19"/>
          <w:rFonts w:hint="eastAsia" w:ascii="楷体" w:hAnsi="楷体" w:eastAsia="楷体"/>
          <w:spacing w:val="-4"/>
          <w:sz w:val="32"/>
          <w:szCs w:val="32"/>
          <w:highlight w:val="none"/>
        </w:rPr>
        <w:t>设定情况</w:t>
      </w:r>
    </w:p>
    <w:p>
      <w:pPr>
        <w:keepNext w:val="0"/>
        <w:keepLines w:val="0"/>
        <w:pageBreakBefore w:val="0"/>
        <w:numPr>
          <w:ilvl w:val="0"/>
          <w:numId w:val="0"/>
        </w:numPr>
        <w:kinsoku/>
        <w:wordWrap/>
        <w:overflowPunct/>
        <w:topLinePunct w:val="0"/>
        <w:autoSpaceDE/>
        <w:autoSpaceDN/>
        <w:bidi w:val="0"/>
        <w:spacing w:line="560" w:lineRule="exact"/>
        <w:ind w:firstLine="627" w:firstLineChars="200"/>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b/>
          <w:bCs/>
          <w:spacing w:val="-4"/>
          <w:sz w:val="32"/>
          <w:szCs w:val="32"/>
          <w:highlight w:val="none"/>
        </w:rPr>
        <w:t>1、项目预期目标及阶段性目标</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default"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项目预期目标及阶段性目标：巴楚县英吾斯塘乡11村为民办实事，保持了巴楚县英吾斯塘乡11村的大局。做到资金使用率100%，使群众满意度达到95%以上。</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default"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阶段性目标:每个月按时拨付项目资金，并监督资金使用用途和情况。严格按照财务支付拨付紫金，做到项目资金用途明确，资金使用情况明确。</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b/>
          <w:bCs/>
          <w:spacing w:val="-4"/>
          <w:sz w:val="32"/>
          <w:szCs w:val="32"/>
          <w:highlight w:val="none"/>
        </w:rPr>
        <w:t>2、项目基本性质</w:t>
      </w:r>
    </w:p>
    <w:p>
      <w:pPr>
        <w:keepNext w:val="0"/>
        <w:keepLines w:val="0"/>
        <w:pageBreakBefore w:val="0"/>
        <w:kinsoku/>
        <w:wordWrap/>
        <w:overflowPunct/>
        <w:topLinePunct w:val="0"/>
        <w:autoSpaceDE/>
        <w:autoSpaceDN/>
        <w:bidi w:val="0"/>
        <w:spacing w:line="560" w:lineRule="atLeast"/>
        <w:ind w:firstLine="624" w:firstLineChars="200"/>
        <w:jc w:val="both"/>
        <w:textAlignment w:val="auto"/>
        <w:outlineLvl w:val="9"/>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本项目为延续性项目。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b/>
          <w:bCs/>
          <w:spacing w:val="-4"/>
          <w:sz w:val="32"/>
          <w:szCs w:val="32"/>
          <w:highlight w:val="none"/>
        </w:rPr>
        <w:t>3、项目用途及范围</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（政法【2010】809号）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下半年工作经费（为民办实事经费）项目经费支出，主要用于巴楚县英吾斯塘乡11村为民办实事，保持了巴楚县英吾斯塘乡11村的大局。</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二、项目资金使用及管理情况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（一）项目资金安排落实、总投入等情况分析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bCs/>
          <w:color w:val="000000" w:themeColor="text1"/>
          <w:spacing w:val="-4"/>
          <w:sz w:val="32"/>
          <w:szCs w:val="32"/>
          <w:highlight w:val="none"/>
          <w14:textFill>
            <w14:solidFill>
              <w14:schemeClr w14:val="tx1"/>
            </w14:solidFill>
          </w14:textFill>
        </w:rPr>
        <w:t>根据</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（政法【2010】809号）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下半年工作经费（为民办实事经费）项目预算安排总额为7.5万元，其中财政资金7.5万元，其他资金0万元，2019年实际收到预算资金7.5万元，预算资金到位率为100%。</w:t>
      </w:r>
    </w:p>
    <w:p>
      <w:pPr>
        <w:spacing w:line="540" w:lineRule="exact"/>
        <w:ind w:firstLine="567" w:firstLineChars="181"/>
        <w:rPr>
          <w:rStyle w:val="19"/>
          <w:rFonts w:hint="eastAsia" w:ascii="楷体" w:hAnsi="楷体" w:eastAsia="楷体"/>
          <w:color w:val="0000FF"/>
          <w:spacing w:val="-4"/>
          <w:sz w:val="32"/>
          <w:szCs w:val="32"/>
          <w:highlight w:val="none"/>
          <w:lang w:val="en-US" w:eastAsia="zh-CN"/>
        </w:rPr>
      </w:pPr>
      <w:r>
        <w:rPr>
          <w:rStyle w:val="19"/>
          <w:rFonts w:hint="eastAsia" w:ascii="楷体" w:hAnsi="楷体" w:eastAsia="楷体"/>
          <w:spacing w:val="-4"/>
          <w:sz w:val="32"/>
          <w:szCs w:val="32"/>
          <w:highlight w:val="none"/>
        </w:rPr>
        <w:t>（二）项目资金实际使用情况分析</w:t>
      </w:r>
      <w:r>
        <w:rPr>
          <w:rStyle w:val="19"/>
          <w:rFonts w:hint="eastAsia" w:ascii="楷体" w:hAnsi="楷体" w:eastAsia="楷体"/>
          <w:spacing w:val="-4"/>
          <w:sz w:val="32"/>
          <w:szCs w:val="32"/>
          <w:highlight w:val="none"/>
          <w:lang w:val="en-US" w:eastAsia="zh-CN"/>
        </w:rPr>
        <w:t xml:space="preserve">   </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下半年工作经费（为民办实事经费）项目财政资金到位资金7.5万元，实际支付7.5万元，预算执行率100%，结余0万元。项目资金主要用于巴楚县英吾斯塘乡11村为民办实事。</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根据中央和自治区、地区项目资金管理办法的要求，地区国资委严格按照项目资金规定的专项资金支持的项目条件和范围要求，严格按照有关规定使用管理项目资金。</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资金分发放时由单位会计收集凭证资料并进行初审，再报地区国资委办公室复核，由地区国资委分管单位财务领导签字核准后，由单位出纳用财政大平台支付。下半年工作经费（为民办实事经费）项目支出符合《地区国资委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三、项目组织实施情况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下半年工作经费（为民办实事经费）项目由地区国资委财务上由分管单位财务领导主抓，地区国资委办公室负责统一管理，财务室负责具体财务事务办理。</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下半年工作经费（为民办实事经费）项目包括巴楚县英吾斯塘乡11村为民办实事。下半年工作经费（为民办实事经费）项目不需要进行招投标程序。</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下半年工作经费（为民办实事经费）项目不存在调整情况。</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下半年工作经费（为民办实事经费）项目不存在检查验收程序。</w:t>
      </w:r>
    </w:p>
    <w:p>
      <w:pPr>
        <w:spacing w:line="540" w:lineRule="exact"/>
        <w:ind w:firstLine="567" w:firstLineChars="181"/>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rPr>
        <w:t>（二）项目管理情况分析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下半年工作经费（为民办实事经费）项目实施过程中，喀什地区国有资产监督管理委员会遵照地区财政局各项制度，</w:t>
      </w:r>
      <w:r>
        <w:rPr>
          <w:rStyle w:val="19"/>
          <w:rFonts w:hint="eastAsia" w:ascii="仿宋" w:hAnsi="仿宋" w:eastAsia="仿宋"/>
          <w:b w:val="0"/>
          <w:color w:val="000000" w:themeColor="text1"/>
          <w:spacing w:val="-4"/>
          <w:sz w:val="32"/>
          <w:szCs w:val="32"/>
          <w:highlight w:val="none"/>
          <w14:textFill>
            <w14:solidFill>
              <w14:schemeClr w14:val="tx1"/>
            </w14:solidFill>
          </w14:textFill>
        </w:rPr>
        <w:t>我单位建立了《喀什地区国有资产监督管理委员会财务会计制度》</w:t>
      </w:r>
      <w:r>
        <w:rPr>
          <w:rFonts w:hint="eastAsia" w:ascii="仿宋" w:hAnsi="仿宋" w:eastAsia="仿宋" w:cs="Times New Roman"/>
          <w:bCs/>
          <w:spacing w:val="-4"/>
          <w:kern w:val="2"/>
          <w:sz w:val="32"/>
          <w:szCs w:val="32"/>
          <w:highlight w:val="none"/>
          <w:shd w:val="clear" w:color="auto" w:fill="auto"/>
          <w:lang w:val="en-US" w:eastAsia="zh-CN"/>
        </w:rPr>
        <w:t>保障下半年工作经费（为民办实事经费）项目的顺利实施。项目实施遵守相关法律法规和业务管理规定，项目资料齐全并及时归档。已建立喀什地区国有资产监督管理委员会财政资金项目日常检查监督检查机制，不定期对项目进度情况进行督导检查，对检查过程中发现的问题及时督促整改，确保了下半年工作经费（为民办实事经费）项目按时保质完成。</w:t>
      </w:r>
    </w:p>
    <w:p>
      <w:pPr>
        <w:spacing w:line="540" w:lineRule="exact"/>
        <w:ind w:firstLine="640"/>
        <w:rPr>
          <w:rStyle w:val="19"/>
          <w:rFonts w:ascii="黑体" w:hAnsi="黑体" w:eastAsia="黑体"/>
          <w:highlight w:val="none"/>
        </w:rPr>
      </w:pPr>
      <w:r>
        <w:rPr>
          <w:rStyle w:val="19"/>
          <w:rFonts w:hint="eastAsia" w:ascii="黑体" w:hAnsi="黑体" w:eastAsia="黑体"/>
          <w:b w:val="0"/>
          <w:spacing w:val="-4"/>
          <w:sz w:val="32"/>
          <w:szCs w:val="32"/>
          <w:highlight w:val="none"/>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widowControl/>
        <w:ind w:firstLine="600" w:firstLineChars="200"/>
        <w:jc w:val="left"/>
        <w:rPr>
          <w:rFonts w:hint="eastAsia" w:ascii="仿宋" w:hAnsi="仿宋" w:eastAsia="仿宋" w:cs="仿宋"/>
          <w:color w:val="000000" w:themeColor="text1"/>
          <w:kern w:val="0"/>
          <w:sz w:val="30"/>
          <w:szCs w:val="30"/>
          <w:highlight w:val="none"/>
          <w:lang w:eastAsia="zh-CN"/>
          <w14:textFill>
            <w14:solidFill>
              <w14:schemeClr w14:val="tx1"/>
            </w14:solidFill>
          </w14:textFill>
        </w:rPr>
      </w:pPr>
      <w:r>
        <w:rPr>
          <w:rFonts w:hint="eastAsia" w:ascii="仿宋" w:hAnsi="仿宋" w:eastAsia="仿宋" w:cs="仿宋"/>
          <w:color w:val="000000" w:themeColor="text1"/>
          <w:kern w:val="0"/>
          <w:sz w:val="30"/>
          <w:szCs w:val="30"/>
          <w:highlight w:val="none"/>
          <w14:textFill>
            <w14:solidFill>
              <w14:schemeClr w14:val="tx1"/>
            </w14:solidFill>
          </w14:textFill>
        </w:rPr>
        <w:t>本项目共设置一级指标</w:t>
      </w:r>
      <w:r>
        <w:rPr>
          <w:rFonts w:ascii="仿宋" w:hAnsi="仿宋" w:eastAsia="仿宋" w:cs="仿宋"/>
          <w:color w:val="000000" w:themeColor="text1"/>
          <w:kern w:val="0"/>
          <w:sz w:val="30"/>
          <w:szCs w:val="30"/>
          <w:highlight w:val="none"/>
          <w14:textFill>
            <w14:solidFill>
              <w14:schemeClr w14:val="tx1"/>
            </w14:solidFill>
          </w14:textFill>
        </w:rPr>
        <w:t>3</w:t>
      </w:r>
      <w:r>
        <w:rPr>
          <w:rFonts w:hint="eastAsia" w:ascii="仿宋" w:hAnsi="仿宋" w:eastAsia="仿宋" w:cs="仿宋"/>
          <w:color w:val="000000" w:themeColor="text1"/>
          <w:kern w:val="0"/>
          <w:sz w:val="30"/>
          <w:szCs w:val="30"/>
          <w:highlight w:val="none"/>
          <w14:textFill>
            <w14:solidFill>
              <w14:schemeClr w14:val="tx1"/>
            </w14:solidFill>
          </w14:textFill>
        </w:rPr>
        <w:t>个，二级指标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7</w:t>
      </w:r>
      <w:r>
        <w:rPr>
          <w:rFonts w:hint="eastAsia" w:ascii="仿宋" w:hAnsi="仿宋" w:eastAsia="仿宋" w:cs="仿宋"/>
          <w:color w:val="000000" w:themeColor="text1"/>
          <w:kern w:val="0"/>
          <w:sz w:val="30"/>
          <w:szCs w:val="30"/>
          <w:highlight w:val="none"/>
          <w14:textFill>
            <w14:solidFill>
              <w14:schemeClr w14:val="tx1"/>
            </w14:solidFill>
          </w14:textFill>
        </w:rPr>
        <w:t>个，三级指标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w:t>
      </w:r>
      <w:r>
        <w:rPr>
          <w:rFonts w:hint="eastAsia" w:ascii="仿宋" w:hAnsi="仿宋" w:eastAsia="仿宋" w:cs="仿宋"/>
          <w:color w:val="000000" w:themeColor="text1"/>
          <w:kern w:val="0"/>
          <w:sz w:val="30"/>
          <w:szCs w:val="30"/>
          <w:highlight w:val="none"/>
          <w14:textFill>
            <w14:solidFill>
              <w14:schemeClr w14:val="tx1"/>
            </w14:solidFill>
          </w14:textFill>
        </w:rPr>
        <w:t>个，其中已完成三级指标</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w:t>
      </w:r>
      <w:r>
        <w:rPr>
          <w:rFonts w:hint="eastAsia" w:ascii="仿宋" w:hAnsi="仿宋" w:eastAsia="仿宋" w:cs="仿宋"/>
          <w:color w:val="000000" w:themeColor="text1"/>
          <w:kern w:val="0"/>
          <w:sz w:val="30"/>
          <w:szCs w:val="30"/>
          <w:highlight w:val="none"/>
          <w14:textFill>
            <w14:solidFill>
              <w14:schemeClr w14:val="tx1"/>
            </w14:solidFill>
          </w14:textFill>
        </w:rPr>
        <w:t>个，指标完成率为</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100</w:t>
      </w:r>
      <w:r>
        <w:rPr>
          <w:rFonts w:ascii="仿宋" w:hAnsi="仿宋" w:eastAsia="仿宋" w:cs="仿宋"/>
          <w:color w:val="000000" w:themeColor="text1"/>
          <w:kern w:val="0"/>
          <w:sz w:val="30"/>
          <w:szCs w:val="30"/>
          <w:highlight w:val="none"/>
          <w14:textFill>
            <w14:solidFill>
              <w14:schemeClr w14:val="tx1"/>
            </w14:solidFill>
          </w14:textFill>
        </w:rPr>
        <w:t>%</w:t>
      </w:r>
      <w:r>
        <w:rPr>
          <w:rFonts w:hint="eastAsia" w:ascii="仿宋" w:hAnsi="仿宋" w:eastAsia="仿宋" w:cs="仿宋"/>
          <w:color w:val="000000" w:themeColor="text1"/>
          <w:kern w:val="0"/>
          <w:sz w:val="30"/>
          <w:szCs w:val="30"/>
          <w:highlight w:val="none"/>
          <w14:textFill>
            <w14:solidFill>
              <w14:schemeClr w14:val="tx1"/>
            </w14:solidFill>
          </w14:textFill>
        </w:rPr>
        <w:t>。根据年初设定的绩效目标</w:t>
      </w:r>
      <w:r>
        <w:rPr>
          <w:rFonts w:hint="eastAsia" w:ascii="仿宋" w:hAnsi="仿宋" w:eastAsia="仿宋" w:cs="仿宋"/>
          <w:color w:val="000000" w:themeColor="text1"/>
          <w:kern w:val="0"/>
          <w:sz w:val="30"/>
          <w:szCs w:val="30"/>
          <w:highlight w:val="none"/>
          <w:lang w:eastAsia="zh-CN"/>
          <w14:textFill>
            <w14:solidFill>
              <w14:schemeClr w14:val="tx1"/>
            </w14:solidFill>
          </w14:textFill>
        </w:rPr>
        <w:t>，</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此项目</w:t>
      </w:r>
      <w:r>
        <w:rPr>
          <w:rFonts w:hint="eastAsia" w:ascii="仿宋" w:hAnsi="仿宋" w:eastAsia="仿宋" w:cs="仿宋"/>
          <w:color w:val="000000" w:themeColor="text1"/>
          <w:kern w:val="0"/>
          <w:sz w:val="30"/>
          <w:szCs w:val="30"/>
          <w:highlight w:val="none"/>
          <w14:textFill>
            <w14:solidFill>
              <w14:schemeClr w14:val="tx1"/>
            </w14:solidFill>
          </w14:textFill>
        </w:rPr>
        <w:t>自评得分为</w:t>
      </w:r>
      <w:r>
        <w:rPr>
          <w:rFonts w:hint="eastAsia" w:ascii="仿宋" w:hAnsi="仿宋" w:eastAsia="仿宋" w:cs="仿宋"/>
          <w:color w:val="000000" w:themeColor="text1"/>
          <w:kern w:val="0"/>
          <w:sz w:val="30"/>
          <w:szCs w:val="30"/>
          <w:highlight w:val="none"/>
          <w:lang w:val="en-US" w:eastAsia="zh-CN"/>
          <w14:textFill>
            <w14:solidFill>
              <w14:schemeClr w14:val="tx1"/>
            </w14:solidFill>
          </w14:textFill>
        </w:rPr>
        <w:t>95</w:t>
      </w:r>
      <w:r>
        <w:rPr>
          <w:rFonts w:hint="eastAsia" w:ascii="仿宋" w:hAnsi="仿宋" w:eastAsia="仿宋" w:cs="仿宋"/>
          <w:color w:val="000000" w:themeColor="text1"/>
          <w:kern w:val="0"/>
          <w:sz w:val="30"/>
          <w:szCs w:val="30"/>
          <w:highlight w:val="none"/>
          <w14:textFill>
            <w14:solidFill>
              <w14:schemeClr w14:val="tx1"/>
            </w14:solidFill>
          </w14:textFill>
        </w:rPr>
        <w:t>分</w:t>
      </w:r>
      <w:r>
        <w:rPr>
          <w:rFonts w:hint="eastAsia" w:ascii="仿宋" w:hAnsi="仿宋" w:eastAsia="仿宋" w:cs="仿宋"/>
          <w:color w:val="000000" w:themeColor="text1"/>
          <w:kern w:val="0"/>
          <w:sz w:val="30"/>
          <w:szCs w:val="30"/>
          <w:highlight w:val="none"/>
          <w:lang w:eastAsia="zh-CN"/>
          <w14:textFill>
            <w14:solidFill>
              <w14:schemeClr w14:val="tx1"/>
            </w14:solidFill>
          </w14:textFill>
        </w:rPr>
        <w:t>。</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1.</w:t>
      </w:r>
      <w:r>
        <w:rPr>
          <w:rFonts w:hint="eastAsia" w:ascii="仿宋" w:hAnsi="仿宋" w:eastAsia="仿宋" w:cs="仿宋"/>
          <w:b/>
          <w:bCs/>
          <w:color w:val="000000" w:themeColor="text1"/>
          <w:spacing w:val="-4"/>
          <w:sz w:val="30"/>
          <w:szCs w:val="30"/>
          <w:highlight w:val="none"/>
          <w14:textFill>
            <w14:solidFill>
              <w14:schemeClr w14:val="tx1"/>
            </w14:solidFill>
          </w14:textFill>
        </w:rPr>
        <w:t>产出指标完成情况分析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1</w:t>
      </w:r>
      <w:r>
        <w:rPr>
          <w:rFonts w:hint="eastAsia" w:ascii="仿宋" w:hAnsi="仿宋" w:eastAsia="仿宋" w:cs="仿宋"/>
          <w:color w:val="000000" w:themeColor="text1"/>
          <w:spacing w:val="-4"/>
          <w:sz w:val="30"/>
          <w:szCs w:val="30"/>
          <w:highlight w:val="none"/>
          <w14:textFill>
            <w14:solidFill>
              <w14:schemeClr w14:val="tx1"/>
            </w14:solidFill>
          </w14:textFill>
        </w:rPr>
        <w:t>）项目完成数量</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收益村委会数量</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指标：预期指标值为1户，实际完成指标值为1户，指标完成率为100%;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受益群众人数</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指标：预期指标值为2500人，实际完成指标值为2500人，指标完成率为100%;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2</w:t>
      </w:r>
      <w:r>
        <w:rPr>
          <w:rFonts w:hint="eastAsia" w:ascii="仿宋" w:hAnsi="仿宋" w:eastAsia="仿宋" w:cs="仿宋"/>
          <w:color w:val="000000" w:themeColor="text1"/>
          <w:spacing w:val="-4"/>
          <w:sz w:val="30"/>
          <w:szCs w:val="30"/>
          <w:highlight w:val="none"/>
          <w14:textFill>
            <w14:solidFill>
              <w14:schemeClr w14:val="tx1"/>
            </w14:solidFill>
          </w14:textFill>
        </w:rPr>
        <w:t>）项目完成质量</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项目对受益群众覆盖率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保障月份指标：预期指标值为6月，实际完成指标值为6月，指标完成率为100%;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3</w:t>
      </w:r>
      <w:r>
        <w:rPr>
          <w:rFonts w:hint="eastAsia" w:ascii="仿宋" w:hAnsi="仿宋" w:eastAsia="仿宋" w:cs="仿宋"/>
          <w:color w:val="000000" w:themeColor="text1"/>
          <w:spacing w:val="-4"/>
          <w:sz w:val="30"/>
          <w:szCs w:val="30"/>
          <w:highlight w:val="none"/>
          <w14:textFill>
            <w14:solidFill>
              <w14:schemeClr w14:val="tx1"/>
            </w14:solidFill>
          </w14:textFill>
        </w:rPr>
        <w:t>）项目实施进度</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资金支付及时率</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指标：预期指标值为100%，实际完成指标值为100，指标完成率为100%;</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4</w:t>
      </w:r>
      <w:r>
        <w:rPr>
          <w:rFonts w:hint="eastAsia" w:ascii="仿宋" w:hAnsi="仿宋" w:eastAsia="仿宋" w:cs="仿宋"/>
          <w:color w:val="000000" w:themeColor="text1"/>
          <w:spacing w:val="-4"/>
          <w:sz w:val="30"/>
          <w:szCs w:val="30"/>
          <w:highlight w:val="none"/>
          <w14:textFill>
            <w14:solidFill>
              <w14:schemeClr w14:val="tx1"/>
            </w14:solidFill>
          </w14:textFill>
        </w:rPr>
        <w:t>）项目成本节约情况</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财政年度补助标准指标：预期指标值为7.5万元，实际完成指标值为7.5万元，指标完成率为100%;</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2.</w:t>
      </w:r>
      <w:r>
        <w:rPr>
          <w:rFonts w:hint="eastAsia" w:ascii="仿宋" w:hAnsi="仿宋" w:eastAsia="仿宋" w:cs="仿宋"/>
          <w:b/>
          <w:bCs/>
          <w:color w:val="000000" w:themeColor="text1"/>
          <w:spacing w:val="-4"/>
          <w:sz w:val="30"/>
          <w:szCs w:val="30"/>
          <w:highlight w:val="none"/>
          <w14:textFill>
            <w14:solidFill>
              <w14:schemeClr w14:val="tx1"/>
            </w14:solidFill>
          </w14:textFill>
        </w:rPr>
        <w:t>效益指标完成情况分析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1</w:t>
      </w:r>
      <w:r>
        <w:rPr>
          <w:rFonts w:hint="eastAsia" w:ascii="仿宋" w:hAnsi="仿宋" w:eastAsia="仿宋" w:cs="仿宋"/>
          <w:color w:val="000000" w:themeColor="text1"/>
          <w:spacing w:val="-4"/>
          <w:sz w:val="30"/>
          <w:szCs w:val="30"/>
          <w:highlight w:val="none"/>
          <w14:textFill>
            <w14:solidFill>
              <w14:schemeClr w14:val="tx1"/>
            </w14:solidFill>
          </w14:textFill>
        </w:rPr>
        <w:t>）项目实施的经济效益分析</w:t>
      </w:r>
    </w:p>
    <w:p>
      <w:pPr>
        <w:spacing w:line="360" w:lineRule="auto"/>
        <w:ind w:firstLine="876" w:firstLineChars="300"/>
        <w:rPr>
          <w:rFonts w:hint="eastAsia" w:ascii="仿宋" w:hAnsi="仿宋" w:eastAsia="仿宋" w:cs="仿宋"/>
          <w:color w:val="000000" w:themeColor="text1"/>
          <w:spacing w:val="-4"/>
          <w:sz w:val="30"/>
          <w:szCs w:val="30"/>
          <w:highlight w:val="none"/>
          <w:lang w:eastAsia="zh-CN"/>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无</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w:t>
      </w:r>
    </w:p>
    <w:p>
      <w:pPr>
        <w:spacing w:line="360" w:lineRule="auto"/>
        <w:ind w:firstLine="586"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b/>
          <w:bCs/>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2</w:t>
      </w:r>
      <w:r>
        <w:rPr>
          <w:rFonts w:hint="eastAsia" w:ascii="仿宋" w:hAnsi="仿宋" w:eastAsia="仿宋" w:cs="仿宋"/>
          <w:color w:val="000000" w:themeColor="text1"/>
          <w:spacing w:val="-4"/>
          <w:sz w:val="30"/>
          <w:szCs w:val="30"/>
          <w:highlight w:val="none"/>
          <w14:textFill>
            <w14:solidFill>
              <w14:schemeClr w14:val="tx1"/>
            </w14:solidFill>
          </w14:textFill>
        </w:rPr>
        <w:t>）项目实施的社会效益分析</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有效</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为所群众解决困难”</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指标：预期指标值为有效</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解决</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，实际完成指标值为有效</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解决</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，指标完成率为100%;</w:t>
      </w:r>
    </w:p>
    <w:p>
      <w:pPr>
        <w:spacing w:line="360" w:lineRule="auto"/>
        <w:ind w:firstLine="584" w:firstLineChars="200"/>
        <w:rPr>
          <w:rFonts w:hint="eastAsia" w:ascii="仿宋" w:hAnsi="仿宋" w:eastAsia="仿宋" w:cs="仿宋"/>
          <w:bCs/>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w:t>
      </w:r>
      <w:r>
        <w:rPr>
          <w:rFonts w:ascii="仿宋" w:hAnsi="仿宋" w:eastAsia="仿宋" w:cs="仿宋"/>
          <w:color w:val="000000" w:themeColor="text1"/>
          <w:spacing w:val="-4"/>
          <w:sz w:val="30"/>
          <w:szCs w:val="30"/>
          <w:highlight w:val="none"/>
          <w14:textFill>
            <w14:solidFill>
              <w14:schemeClr w14:val="tx1"/>
            </w14:solidFill>
          </w14:textFill>
        </w:rPr>
        <w:t>3</w:t>
      </w:r>
      <w:r>
        <w:rPr>
          <w:rFonts w:hint="eastAsia" w:ascii="仿宋" w:hAnsi="仿宋" w:eastAsia="仿宋" w:cs="仿宋"/>
          <w:color w:val="000000" w:themeColor="text1"/>
          <w:spacing w:val="-4"/>
          <w:sz w:val="30"/>
          <w:szCs w:val="30"/>
          <w:highlight w:val="none"/>
          <w14:textFill>
            <w14:solidFill>
              <w14:schemeClr w14:val="tx1"/>
            </w14:solidFill>
          </w14:textFill>
        </w:rPr>
        <w:t>）项目实施的生态效益分</w:t>
      </w:r>
      <w:r>
        <w:rPr>
          <w:rFonts w:hint="eastAsia" w:ascii="仿宋" w:hAnsi="仿宋" w:eastAsia="仿宋" w:cs="仿宋"/>
          <w:bCs/>
          <w:color w:val="000000" w:themeColor="text1"/>
          <w:spacing w:val="-4"/>
          <w:sz w:val="30"/>
          <w:szCs w:val="30"/>
          <w:highlight w:val="none"/>
          <w14:textFill>
            <w14:solidFill>
              <w14:schemeClr w14:val="tx1"/>
            </w14:solidFill>
          </w14:textFill>
        </w:rPr>
        <w:t>析</w:t>
      </w:r>
    </w:p>
    <w:p>
      <w:pPr>
        <w:spacing w:line="360" w:lineRule="auto"/>
        <w:ind w:firstLine="876" w:firstLineChars="300"/>
        <w:rPr>
          <w:rFonts w:hint="eastAsia" w:ascii="仿宋" w:hAnsi="仿宋" w:eastAsia="仿宋" w:cs="仿宋"/>
          <w:color w:val="000000" w:themeColor="text1"/>
          <w:spacing w:val="-4"/>
          <w:sz w:val="30"/>
          <w:szCs w:val="30"/>
          <w:highlight w:val="none"/>
          <w:lang w:eastAsia="zh-CN"/>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无</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w:t>
      </w:r>
    </w:p>
    <w:p>
      <w:pPr>
        <w:spacing w:line="360" w:lineRule="auto"/>
        <w:ind w:firstLine="584" w:firstLineChars="200"/>
        <w:rPr>
          <w:rFonts w:hint="eastAsia" w:ascii="仿宋" w:hAnsi="仿宋" w:eastAsia="仿宋" w:cs="仿宋"/>
          <w:bCs/>
          <w:color w:val="000000" w:themeColor="text1"/>
          <w:spacing w:val="-4"/>
          <w:sz w:val="30"/>
          <w:szCs w:val="30"/>
          <w:highlight w:val="none"/>
          <w14:textFill>
            <w14:solidFill>
              <w14:schemeClr w14:val="tx1"/>
            </w14:solidFill>
          </w14:textFill>
        </w:rPr>
      </w:pPr>
      <w:r>
        <w:rPr>
          <w:rFonts w:hint="eastAsia" w:ascii="仿宋" w:hAnsi="仿宋" w:eastAsia="仿宋" w:cs="仿宋"/>
          <w:bCs/>
          <w:color w:val="000000" w:themeColor="text1"/>
          <w:spacing w:val="-4"/>
          <w:sz w:val="30"/>
          <w:szCs w:val="30"/>
          <w:highlight w:val="none"/>
          <w14:textFill>
            <w14:solidFill>
              <w14:schemeClr w14:val="tx1"/>
            </w14:solidFill>
          </w14:textFill>
        </w:rPr>
        <w:t>（</w:t>
      </w:r>
      <w:r>
        <w:rPr>
          <w:rFonts w:ascii="仿宋" w:hAnsi="仿宋" w:eastAsia="仿宋" w:cs="仿宋"/>
          <w:bCs/>
          <w:color w:val="000000" w:themeColor="text1"/>
          <w:spacing w:val="-4"/>
          <w:sz w:val="30"/>
          <w:szCs w:val="30"/>
          <w:highlight w:val="none"/>
          <w14:textFill>
            <w14:solidFill>
              <w14:schemeClr w14:val="tx1"/>
            </w14:solidFill>
          </w14:textFill>
        </w:rPr>
        <w:t>4</w:t>
      </w:r>
      <w:r>
        <w:rPr>
          <w:rFonts w:hint="eastAsia" w:ascii="仿宋" w:hAnsi="仿宋" w:eastAsia="仿宋" w:cs="仿宋"/>
          <w:bCs/>
          <w:color w:val="000000" w:themeColor="text1"/>
          <w:spacing w:val="-4"/>
          <w:sz w:val="30"/>
          <w:szCs w:val="30"/>
          <w:highlight w:val="none"/>
          <w14:textFill>
            <w14:solidFill>
              <w14:schemeClr w14:val="tx1"/>
            </w14:solidFill>
          </w14:textFill>
        </w:rPr>
        <w:t>）项目实施的可持续影响分析</w:t>
      </w:r>
    </w:p>
    <w:p>
      <w:pPr>
        <w:spacing w:line="360" w:lineRule="auto"/>
        <w:ind w:firstLine="584" w:firstLineChars="200"/>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4"/>
          <w:sz w:val="30"/>
          <w:szCs w:val="30"/>
          <w:highlight w:val="none"/>
          <w:lang w:eastAsia="zh-CN"/>
          <w14:textFill>
            <w14:solidFill>
              <w14:schemeClr w14:val="tx1"/>
            </w14:solidFill>
          </w14:textFill>
        </w:rPr>
        <w:t>执行为群众办实事政策</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指标：预期指标值为长期执行，实际完成指标值为长期执行，指标完成率为100%;</w:t>
      </w:r>
    </w:p>
    <w:p>
      <w:pPr>
        <w:spacing w:line="360" w:lineRule="auto"/>
        <w:ind w:firstLine="586" w:firstLineChars="200"/>
        <w:rPr>
          <w:rFonts w:ascii="仿宋" w:hAnsi="仿宋" w:eastAsia="仿宋" w:cs="仿宋"/>
          <w:b/>
          <w:bCs/>
          <w:color w:val="000000" w:themeColor="text1"/>
          <w:spacing w:val="-4"/>
          <w:sz w:val="30"/>
          <w:szCs w:val="30"/>
          <w:highlight w:val="none"/>
          <w14:textFill>
            <w14:solidFill>
              <w14:schemeClr w14:val="tx1"/>
            </w14:solidFill>
          </w14:textFill>
        </w:rPr>
      </w:pPr>
      <w:r>
        <w:rPr>
          <w:rFonts w:ascii="仿宋" w:hAnsi="仿宋" w:eastAsia="仿宋" w:cs="仿宋"/>
          <w:b/>
          <w:bCs/>
          <w:color w:val="000000" w:themeColor="text1"/>
          <w:spacing w:val="-4"/>
          <w:sz w:val="30"/>
          <w:szCs w:val="30"/>
          <w:highlight w:val="none"/>
          <w14:textFill>
            <w14:solidFill>
              <w14:schemeClr w14:val="tx1"/>
            </w14:solidFill>
          </w14:textFill>
        </w:rPr>
        <w:t>3.</w:t>
      </w:r>
      <w:r>
        <w:rPr>
          <w:rFonts w:hint="eastAsia" w:ascii="仿宋" w:hAnsi="仿宋" w:eastAsia="仿宋" w:cs="仿宋"/>
          <w:b/>
          <w:bCs/>
          <w:color w:val="000000" w:themeColor="text1"/>
          <w:spacing w:val="-4"/>
          <w:sz w:val="30"/>
          <w:szCs w:val="30"/>
          <w:highlight w:val="none"/>
          <w14:textFill>
            <w14:solidFill>
              <w14:schemeClr w14:val="tx1"/>
            </w14:solidFill>
          </w14:textFill>
        </w:rPr>
        <w:t>满意度指标完成情况分析</w:t>
      </w:r>
    </w:p>
    <w:p>
      <w:pPr>
        <w:spacing w:line="360" w:lineRule="auto"/>
        <w:ind w:firstLine="584" w:firstLineChars="200"/>
        <w:rPr>
          <w:rFonts w:hint="eastAsia" w:ascii="仿宋" w:hAnsi="仿宋" w:eastAsia="仿宋" w:cs="仿宋"/>
          <w:color w:val="000000" w:themeColor="text1"/>
          <w:spacing w:val="-4"/>
          <w:sz w:val="30"/>
          <w:szCs w:val="30"/>
          <w:highlight w:val="none"/>
          <w14:textFill>
            <w14:solidFill>
              <w14:schemeClr w14:val="tx1"/>
            </w14:solidFill>
          </w14:textFill>
        </w:rPr>
      </w:pPr>
      <w:r>
        <w:rPr>
          <w:rFonts w:hint="eastAsia" w:ascii="仿宋" w:hAnsi="仿宋" w:eastAsia="仿宋" w:cs="仿宋"/>
          <w:color w:val="000000" w:themeColor="text1"/>
          <w:spacing w:val="-4"/>
          <w:sz w:val="30"/>
          <w:szCs w:val="30"/>
          <w:highlight w:val="none"/>
          <w14:textFill>
            <w14:solidFill>
              <w14:schemeClr w14:val="tx1"/>
            </w14:solidFill>
          </w14:textFill>
        </w:rPr>
        <w:t>按计划完成项目实施，</w:t>
      </w:r>
      <w:r>
        <w:rPr>
          <w:rFonts w:hint="eastAsia" w:ascii="仿宋" w:hAnsi="仿宋" w:eastAsia="仿宋" w:cs="仿宋"/>
          <w:color w:val="000000" w:themeColor="text1"/>
          <w:spacing w:val="-4"/>
          <w:sz w:val="30"/>
          <w:szCs w:val="30"/>
          <w:highlight w:val="none"/>
          <w:lang w:eastAsia="zh-CN"/>
          <w14:textFill>
            <w14:solidFill>
              <w14:schemeClr w14:val="tx1"/>
            </w14:solidFill>
          </w14:textFill>
        </w:rPr>
        <w:t>巴楚县英吾斯塘乡11村委会满意度</w:t>
      </w:r>
      <w:r>
        <w:rPr>
          <w:rFonts w:hint="eastAsia" w:ascii="仿宋" w:hAnsi="仿宋" w:eastAsia="仿宋" w:cs="仿宋"/>
          <w:color w:val="000000" w:themeColor="text1"/>
          <w:spacing w:val="-4"/>
          <w:sz w:val="30"/>
          <w:szCs w:val="30"/>
          <w:highlight w:val="none"/>
          <w:lang w:val="en-US" w:eastAsia="zh-CN"/>
          <w14:textFill>
            <w14:solidFill>
              <w14:schemeClr w14:val="tx1"/>
            </w14:solidFill>
          </w14:textFill>
        </w:rPr>
        <w:t>指标：预期指标值为≥95%，实际完成指标值为98%，指标完成率为100%;</w:t>
      </w:r>
      <w:r>
        <w:rPr>
          <w:rFonts w:hint="eastAsia" w:ascii="仿宋" w:hAnsi="仿宋" w:eastAsia="仿宋" w:cs="仿宋"/>
          <w:color w:val="000000" w:themeColor="text1"/>
          <w:spacing w:val="-4"/>
          <w:sz w:val="30"/>
          <w:szCs w:val="30"/>
          <w:highlight w:val="none"/>
          <w14:textFill>
            <w14:solidFill>
              <w14:schemeClr w14:val="tx1"/>
            </w14:solidFill>
          </w14:textFill>
        </w:rPr>
        <w:t>服务对象满意度指标完成。</w:t>
      </w:r>
    </w:p>
    <w:p>
      <w:pPr>
        <w:spacing w:line="360" w:lineRule="auto"/>
        <w:ind w:firstLine="627" w:firstLineChars="200"/>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（二）项目绩效目标未完成原因分析</w:t>
      </w:r>
    </w:p>
    <w:p>
      <w:pPr>
        <w:adjustRightInd w:val="0"/>
        <w:snapToGrid w:val="0"/>
        <w:spacing w:line="560" w:lineRule="exact"/>
        <w:ind w:firstLine="624" w:firstLineChars="200"/>
        <w:rPr>
          <w:rFonts w:ascii="仿宋" w:hAnsi="仿宋" w:eastAsia="仿宋"/>
          <w:color w:val="000000" w:themeColor="text1"/>
          <w:spacing w:val="-4"/>
          <w:sz w:val="32"/>
          <w:szCs w:val="32"/>
          <w:highlight w:val="none"/>
          <w14:textFill>
            <w14:solidFill>
              <w14:schemeClr w14:val="tx1"/>
            </w14:solidFill>
          </w14:textFill>
        </w:rPr>
      </w:pPr>
      <w:r>
        <w:rPr>
          <w:rFonts w:hint="eastAsia" w:ascii="仿宋" w:hAnsi="仿宋" w:eastAsia="仿宋"/>
          <w:color w:val="000000" w:themeColor="text1"/>
          <w:spacing w:val="-4"/>
          <w:sz w:val="32"/>
          <w:szCs w:val="32"/>
          <w:highlight w:val="none"/>
          <w14:textFill>
            <w14:solidFill>
              <w14:schemeClr w14:val="tx1"/>
            </w14:solidFill>
          </w14:textFill>
        </w:rPr>
        <w:t>此项目无偏差，本年度项目绩效目标全部达成，不存在未完成原因分析。</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五、其他需要说明的问题</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（一）后续工作计划</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按照下一年度下半年工作经费（为民办实事经费）项目实际支出需求，编制下一年度下半年工作经费（为民办实事经费）项目预算计划。</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highlight w:val="none"/>
          <w:shd w:val="clear" w:color="auto" w:fill="auto"/>
          <w:lang w:val="en-US" w:eastAsia="zh-CN"/>
        </w:rPr>
      </w:pPr>
      <w:r>
        <w:rPr>
          <w:rFonts w:hint="eastAsia" w:ascii="仿宋" w:hAnsi="仿宋" w:eastAsia="仿宋" w:cs="Times New Roman"/>
          <w:b/>
          <w:bCs w:val="0"/>
          <w:spacing w:val="-4"/>
          <w:kern w:val="2"/>
          <w:sz w:val="32"/>
          <w:szCs w:val="32"/>
          <w:highlight w:val="none"/>
          <w:shd w:val="clear" w:color="auto" w:fill="auto"/>
          <w:lang w:val="en-US" w:eastAsia="zh-CN"/>
        </w:rPr>
        <w:t>1、主要经验及做法</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通过预算绩效管理，按时合规将资金拨付到下半年工作经费（为民办实事经费）项目支出上，保障项目正常运行。</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highlight w:val="none"/>
          <w:shd w:val="clear" w:color="auto" w:fill="auto"/>
          <w:lang w:val="en-US" w:eastAsia="zh-CN"/>
        </w:rPr>
      </w:pPr>
      <w:r>
        <w:rPr>
          <w:rFonts w:hint="eastAsia" w:ascii="仿宋" w:hAnsi="仿宋" w:eastAsia="仿宋" w:cs="Times New Roman"/>
          <w:b/>
          <w:bCs w:val="0"/>
          <w:spacing w:val="-4"/>
          <w:kern w:val="2"/>
          <w:sz w:val="32"/>
          <w:szCs w:val="32"/>
          <w:highlight w:val="none"/>
          <w:shd w:val="clear" w:color="auto" w:fill="auto"/>
          <w:lang w:val="en-US" w:eastAsia="zh-CN"/>
        </w:rPr>
        <w:t>2、存在的问题</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下半年资金支出方面因地区预算批复原因，指标下达较晚，导致了资金拨付滞缓，影响了项目的进度。</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highlight w:val="none"/>
          <w:shd w:val="clear" w:color="auto" w:fill="auto"/>
          <w:lang w:val="en-US" w:eastAsia="zh-CN"/>
        </w:rPr>
      </w:pPr>
      <w:r>
        <w:rPr>
          <w:rFonts w:hint="eastAsia" w:ascii="仿宋" w:hAnsi="仿宋" w:eastAsia="仿宋" w:cs="Times New Roman"/>
          <w:b/>
          <w:bCs w:val="0"/>
          <w:spacing w:val="-4"/>
          <w:kern w:val="2"/>
          <w:sz w:val="32"/>
          <w:szCs w:val="32"/>
          <w:highlight w:val="none"/>
          <w:shd w:val="clear" w:color="auto" w:fill="auto"/>
          <w:lang w:val="en-US" w:eastAsia="zh-CN"/>
        </w:rPr>
        <w:t>3、建议</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default"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下一年初做好资金计划，按照项目进度及时拨付资金，使资金使用效益最大化，减少不必要的浪费，节约成本。</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p>
    <w:p>
      <w:pPr>
        <w:adjustRightInd w:val="0"/>
        <w:snapToGrid w:val="0"/>
        <w:spacing w:line="560" w:lineRule="exact"/>
        <w:ind w:firstLine="624" w:firstLineChars="200"/>
        <w:rPr>
          <w:rFonts w:hint="eastAsia" w:ascii="仿宋" w:hAnsi="仿宋" w:eastAsia="仿宋"/>
          <w:color w:val="auto"/>
          <w:spacing w:val="-4"/>
          <w:sz w:val="32"/>
          <w:szCs w:val="32"/>
          <w:highlight w:val="none"/>
        </w:rPr>
      </w:pPr>
      <w:r>
        <w:rPr>
          <w:rFonts w:hint="eastAsia" w:ascii="仿宋" w:hAnsi="仿宋" w:eastAsia="仿宋"/>
          <w:color w:val="auto"/>
          <w:spacing w:val="-4"/>
          <w:sz w:val="32"/>
          <w:szCs w:val="32"/>
          <w:highlight w:val="none"/>
        </w:rPr>
        <w:t>无其他说明内容。</w:t>
      </w:r>
    </w:p>
    <w:p>
      <w:pPr>
        <w:spacing w:line="540" w:lineRule="exact"/>
        <w:ind w:firstLine="640"/>
        <w:rPr>
          <w:rStyle w:val="19"/>
          <w:rFonts w:hint="eastAsia"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六、项目评价工作情况</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highlight w:val="none"/>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地区国资委项目评价工作由地区国资委主要领导主抓，项目评价工作具体流程为：地区国资委财务室将严格按照财务实际支出情况形成会计资料。项目评价工作由分管单位财务领导带领地区国资委办公室按照由地区有关规定和本单位下半年工作经费（为民办实事经费）项目部门预算项目支出绩效目标申报表，通过文件研读、实地调研、数据分析等方式，全面了解下半年工作经费（为民办实事经费）项目资金的使用效率和效果、项目管理过程是否规范、是否完成了预期绩效目标，审核会计资料进行项目评价，形成本单位下半年工作经费（为民办实事经费）项目支出绩效目标自评表初稿，报地区财政局核定后，形成本单位该项目支出绩效目标自评表。同时，通过开展自我评价来总结经验和教训，为下半年工作经费（为民办实事经费）项目今后的开展提供参考建议。</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七、附表</w:t>
      </w:r>
    </w:p>
    <w:p>
      <w:pPr>
        <w:spacing w:line="540" w:lineRule="exact"/>
        <w:ind w:firstLine="567"/>
        <w:rPr>
          <w:rStyle w:val="19"/>
          <w:rFonts w:hint="eastAsia"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w:t>
      </w:r>
      <w:r>
        <w:rPr>
          <w:rStyle w:val="19"/>
          <w:rFonts w:hint="eastAsia" w:ascii="仿宋" w:hAnsi="仿宋" w:eastAsia="仿宋"/>
          <w:b w:val="0"/>
          <w:spacing w:val="-4"/>
          <w:sz w:val="32"/>
          <w:szCs w:val="32"/>
          <w:highlight w:val="none"/>
          <w:lang w:val="en-US" w:eastAsia="zh-CN"/>
        </w:rPr>
        <w:t>喀什地区</w:t>
      </w:r>
      <w:r>
        <w:rPr>
          <w:rStyle w:val="19"/>
          <w:rFonts w:hint="eastAsia" w:ascii="仿宋" w:hAnsi="仿宋" w:eastAsia="仿宋"/>
          <w:b w:val="0"/>
          <w:spacing w:val="-4"/>
          <w:sz w:val="32"/>
          <w:szCs w:val="32"/>
          <w:highlight w:val="none"/>
        </w:rPr>
        <w:t>财政项目支出绩效自评表》</w:t>
      </w:r>
    </w:p>
    <w:p>
      <w:pPr>
        <w:bidi w:val="0"/>
        <w:rPr>
          <w:rStyle w:val="19"/>
          <w:rFonts w:hint="eastAsia" w:ascii="仿宋" w:hAnsi="仿宋" w:eastAsia="仿宋"/>
          <w:b w:val="0"/>
          <w:spacing w:val="-4"/>
          <w:sz w:val="32"/>
          <w:szCs w:val="32"/>
          <w:highlight w:val="none"/>
        </w:rPr>
      </w:pPr>
    </w:p>
    <w:p>
      <w:pPr>
        <w:bidi w:val="0"/>
        <w:rPr>
          <w:rStyle w:val="19"/>
          <w:rFonts w:hint="eastAsia" w:ascii="仿宋" w:hAnsi="仿宋" w:eastAsia="仿宋"/>
          <w:b w:val="0"/>
          <w:spacing w:val="-4"/>
          <w:sz w:val="32"/>
          <w:szCs w:val="32"/>
          <w:highlight w:val="none"/>
        </w:rPr>
      </w:pPr>
    </w:p>
    <w:p>
      <w:pPr>
        <w:bidi w:val="0"/>
        <w:rPr>
          <w:rStyle w:val="19"/>
          <w:rFonts w:hint="eastAsia" w:ascii="仿宋" w:hAnsi="仿宋" w:eastAsia="仿宋"/>
          <w:b w:val="0"/>
          <w:spacing w:val="-4"/>
          <w:sz w:val="32"/>
          <w:szCs w:val="32"/>
          <w:highlight w:val="none"/>
        </w:rPr>
      </w:pPr>
    </w:p>
    <w:p>
      <w:pPr>
        <w:bidi w:val="0"/>
        <w:rPr>
          <w:rStyle w:val="19"/>
          <w:rFonts w:hint="eastAsia" w:ascii="仿宋" w:hAnsi="仿宋" w:eastAsia="仿宋"/>
          <w:b w:val="0"/>
          <w:spacing w:val="-4"/>
          <w:sz w:val="32"/>
          <w:szCs w:val="32"/>
          <w:highlight w:val="none"/>
        </w:rPr>
      </w:pPr>
    </w:p>
    <w:p>
      <w:pPr>
        <w:bidi w:val="0"/>
        <w:jc w:val="right"/>
        <w:rPr>
          <w:rStyle w:val="19"/>
          <w:rFonts w:hint="eastAsia" w:ascii="仿宋" w:hAnsi="仿宋" w:eastAsia="仿宋"/>
          <w:b w:val="0"/>
          <w:spacing w:val="-4"/>
          <w:sz w:val="32"/>
          <w:szCs w:val="32"/>
          <w:highlight w:val="none"/>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7A"/>
    <w:family w:val="auto"/>
    <w:pitch w:val="default"/>
    <w:sig w:usb0="00000287" w:usb1="080F0000" w:usb2="00000000" w:usb3="00000000" w:csb0="0004009F" w:csb1="DFD70000"/>
  </w:font>
  <w:font w:name="仿宋_GB2312">
    <w:altName w:val="仿宋"/>
    <w:panose1 w:val="02010609030101010101"/>
    <w:charset w:val="7A"/>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1623184"/>
    <w:rsid w:val="02E37DE9"/>
    <w:rsid w:val="0BB1721F"/>
    <w:rsid w:val="0D5D5A45"/>
    <w:rsid w:val="169E248D"/>
    <w:rsid w:val="17E421EC"/>
    <w:rsid w:val="1A8A3D59"/>
    <w:rsid w:val="1DCB1775"/>
    <w:rsid w:val="21E35AAB"/>
    <w:rsid w:val="263A4BD7"/>
    <w:rsid w:val="279877FF"/>
    <w:rsid w:val="28D675A6"/>
    <w:rsid w:val="29FA6764"/>
    <w:rsid w:val="2B1B28E1"/>
    <w:rsid w:val="347362C2"/>
    <w:rsid w:val="35B43142"/>
    <w:rsid w:val="35FB0359"/>
    <w:rsid w:val="376220E2"/>
    <w:rsid w:val="38A537E5"/>
    <w:rsid w:val="38D8298D"/>
    <w:rsid w:val="38E3680D"/>
    <w:rsid w:val="39B96632"/>
    <w:rsid w:val="40B92D51"/>
    <w:rsid w:val="41BF3B2C"/>
    <w:rsid w:val="45C526DC"/>
    <w:rsid w:val="480B3D50"/>
    <w:rsid w:val="490C28F0"/>
    <w:rsid w:val="4939382C"/>
    <w:rsid w:val="4C082AC7"/>
    <w:rsid w:val="50594078"/>
    <w:rsid w:val="51346A2F"/>
    <w:rsid w:val="51642D0B"/>
    <w:rsid w:val="546D4B1B"/>
    <w:rsid w:val="56AD1430"/>
    <w:rsid w:val="61C95539"/>
    <w:rsid w:val="631A476D"/>
    <w:rsid w:val="63E00269"/>
    <w:rsid w:val="695B2875"/>
    <w:rsid w:val="6D5B6139"/>
    <w:rsid w:val="6E18614B"/>
    <w:rsid w:val="6F1E73F5"/>
    <w:rsid w:val="6FE0678F"/>
    <w:rsid w:val="7858311B"/>
    <w:rsid w:val="7B192028"/>
    <w:rsid w:val="7D2C66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416</Words>
  <Characters>2377</Characters>
  <Lines>19</Lines>
  <Paragraphs>5</Paragraphs>
  <TotalTime>4</TotalTime>
  <ScaleCrop>false</ScaleCrop>
  <LinksUpToDate>false</LinksUpToDate>
  <CharactersWithSpaces>2788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Apple</cp:lastModifiedBy>
  <cp:lastPrinted>2018-12-31T10:56:00Z</cp:lastPrinted>
  <dcterms:modified xsi:type="dcterms:W3CDTF">2020-09-05T09:13:12Z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