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0DAFC1" w14:textId="77777777" w:rsidR="008853A8" w:rsidRDefault="008853A8">
      <w:pPr>
        <w:rPr>
          <w:rFonts w:ascii="黑体" w:eastAsia="黑体" w:hAnsi="黑体"/>
          <w:sz w:val="32"/>
          <w:szCs w:val="32"/>
        </w:rPr>
      </w:pPr>
      <w:r>
        <w:rPr>
          <w:rFonts w:ascii="黑体" w:eastAsia="黑体" w:hAnsi="黑体" w:hint="eastAsia"/>
          <w:sz w:val="32"/>
          <w:szCs w:val="32"/>
        </w:rPr>
        <w:t>附件：</w:t>
      </w:r>
    </w:p>
    <w:p w14:paraId="611C3882" w14:textId="77777777" w:rsidR="008853A8" w:rsidRDefault="008853A8">
      <w:pPr>
        <w:jc w:val="center"/>
        <w:rPr>
          <w:rFonts w:ascii="方正小标宋_GBK" w:eastAsia="方正小标宋_GBK" w:hAnsi="宋体"/>
          <w:sz w:val="44"/>
          <w:szCs w:val="44"/>
        </w:rPr>
      </w:pPr>
    </w:p>
    <w:p w14:paraId="12B0B250" w14:textId="77777777" w:rsidR="008853A8" w:rsidRDefault="008853A8">
      <w:pPr>
        <w:jc w:val="center"/>
        <w:rPr>
          <w:rFonts w:ascii="方正小标宋_GBK" w:eastAsia="方正小标宋_GBK" w:hAnsi="宋体"/>
          <w:sz w:val="44"/>
          <w:szCs w:val="44"/>
        </w:rPr>
      </w:pPr>
    </w:p>
    <w:p w14:paraId="1FB56DCC" w14:textId="77777777" w:rsidR="008853A8" w:rsidRDefault="008853A8">
      <w:pPr>
        <w:jc w:val="center"/>
        <w:rPr>
          <w:rFonts w:ascii="方正小标宋_GBK" w:eastAsia="方正小标宋_GBK" w:hAnsi="宋体"/>
          <w:sz w:val="44"/>
          <w:szCs w:val="44"/>
        </w:rPr>
      </w:pPr>
    </w:p>
    <w:p w14:paraId="0E41F092" w14:textId="77777777" w:rsidR="008853A8" w:rsidRDefault="008853A8">
      <w:pPr>
        <w:jc w:val="center"/>
        <w:rPr>
          <w:rFonts w:ascii="方正小标宋_GBK" w:eastAsia="方正小标宋_GBK" w:hAnsi="宋体"/>
          <w:sz w:val="44"/>
          <w:szCs w:val="44"/>
        </w:rPr>
      </w:pPr>
    </w:p>
    <w:p w14:paraId="12B6D321" w14:textId="0D5360EF" w:rsidR="008853A8" w:rsidRDefault="00377EC6">
      <w:pPr>
        <w:jc w:val="center"/>
        <w:rPr>
          <w:rFonts w:ascii="方正小标宋_GBK" w:eastAsia="方正小标宋_GBK" w:hAnsi="宋体"/>
          <w:sz w:val="44"/>
          <w:szCs w:val="44"/>
        </w:rPr>
      </w:pPr>
      <w:r>
        <w:rPr>
          <w:rFonts w:ascii="方正小标宋_GBK" w:hAnsi="方正小标宋_GBK" w:cs="方正小标宋_GBK" w:eastAsia="方正小标宋_GBK"/>
          <w:sz w:val="44"/>
        </w:rPr>
        <w:t>新疆喀什地区纤维检验所2019年度部门决算</w:t>
      </w:r>
    </w:p>
    <w:p w14:paraId="0ACE5469" w14:textId="77777777" w:rsidR="008853A8" w:rsidRDefault="008853A8">
      <w:pPr>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14:paraId="2888F532" w14:textId="77777777" w:rsidR="008853A8" w:rsidRDefault="008853A8">
      <w:pPr>
        <w:jc w:val="center"/>
        <w:rPr>
          <w:rFonts w:ascii="仿宋_GB2312" w:eastAsia="仿宋_GB2312" w:hAnsi="仿宋_GB2312" w:cs="仿宋_GB2312"/>
          <w:bCs/>
          <w:kern w:val="0"/>
          <w:sz w:val="32"/>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lastRenderedPageBreak/>
        <w:t>目 录</w:t>
      </w:r>
    </w:p>
    <w:p w14:paraId="293349B8" w14:textId="77777777" w:rsidR="008853A8" w:rsidRDefault="008853A8">
      <w:pPr>
        <w:pStyle w:val="TOC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部门单位概况</w:t>
        </w:r>
      </w:hyperlink>
    </w:p>
    <w:p w14:paraId="2F9FE76B" w14:textId="77777777" w:rsidR="008853A8" w:rsidRDefault="00EA656B">
      <w:pPr>
        <w:pStyle w:val="TOC2"/>
        <w:tabs>
          <w:tab w:val="right" w:pos="8306"/>
        </w:tabs>
        <w:ind w:leftChars="0" w:left="0"/>
        <w:rPr>
          <w:rFonts w:ascii="仿宋_GB2312" w:eastAsia="仿宋_GB2312" w:hAnsi="仿宋_GB2312" w:cs="仿宋_GB2312"/>
          <w:sz w:val="32"/>
          <w:szCs w:val="32"/>
        </w:rPr>
      </w:pPr>
      <w:hyperlink w:anchor="_Toc30567" w:history="1">
        <w:r w:rsidR="008853A8">
          <w:rPr>
            <w:rFonts w:ascii="仿宋_GB2312" w:eastAsia="仿宋_GB2312" w:hAnsi="仿宋_GB2312" w:cs="仿宋_GB2312" w:hint="eastAsia"/>
            <w:bCs/>
            <w:kern w:val="0"/>
            <w:sz w:val="32"/>
            <w:szCs w:val="32"/>
          </w:rPr>
          <w:t>一、主要职能</w:t>
        </w:r>
      </w:hyperlink>
    </w:p>
    <w:p w14:paraId="247DC9F7" w14:textId="77777777" w:rsidR="008853A8" w:rsidRDefault="00EA656B">
      <w:pPr>
        <w:pStyle w:val="TOC2"/>
        <w:tabs>
          <w:tab w:val="right" w:pos="8306"/>
        </w:tabs>
        <w:ind w:leftChars="0" w:left="0"/>
        <w:rPr>
          <w:rFonts w:ascii="仿宋_GB2312" w:eastAsia="仿宋_GB2312" w:hAnsi="仿宋_GB2312" w:cs="仿宋_GB2312"/>
          <w:sz w:val="32"/>
          <w:szCs w:val="32"/>
        </w:rPr>
      </w:pPr>
      <w:hyperlink w:anchor="_Toc2151" w:history="1">
        <w:r w:rsidR="008853A8">
          <w:rPr>
            <w:rFonts w:ascii="仿宋_GB2312" w:eastAsia="仿宋_GB2312" w:hAnsi="仿宋_GB2312" w:cs="仿宋_GB2312" w:hint="eastAsia"/>
            <w:bCs/>
            <w:kern w:val="0"/>
            <w:sz w:val="32"/>
            <w:szCs w:val="32"/>
          </w:rPr>
          <w:t>二、机构设置及人员情况</w:t>
        </w:r>
      </w:hyperlink>
    </w:p>
    <w:p w14:paraId="08B9D742" w14:textId="77777777" w:rsidR="008853A8" w:rsidRDefault="00EA656B">
      <w:pPr>
        <w:pStyle w:val="TOC1"/>
        <w:tabs>
          <w:tab w:val="right" w:pos="8306"/>
        </w:tabs>
        <w:rPr>
          <w:rFonts w:ascii="仿宋_GB2312" w:eastAsia="仿宋_GB2312" w:hAnsi="仿宋_GB2312" w:cs="仿宋_GB2312"/>
          <w:b/>
          <w:bCs/>
          <w:sz w:val="32"/>
          <w:szCs w:val="32"/>
        </w:rPr>
      </w:pPr>
      <w:hyperlink w:anchor="_Toc29374" w:history="1">
        <w:r w:rsidR="008853A8">
          <w:rPr>
            <w:rFonts w:ascii="仿宋_GB2312" w:eastAsia="仿宋_GB2312" w:hAnsi="仿宋_GB2312" w:cs="仿宋_GB2312" w:hint="eastAsia"/>
            <w:b/>
            <w:bCs/>
            <w:sz w:val="32"/>
            <w:szCs w:val="32"/>
          </w:rPr>
          <w:t>第二部分 部门决算情况说明</w:t>
        </w:r>
      </w:hyperlink>
    </w:p>
    <w:p w14:paraId="5C83C03D" w14:textId="77777777" w:rsidR="008853A8" w:rsidRDefault="00EA656B">
      <w:pPr>
        <w:pStyle w:val="TOC2"/>
        <w:tabs>
          <w:tab w:val="right" w:pos="8306"/>
        </w:tabs>
        <w:ind w:leftChars="0" w:left="0"/>
        <w:rPr>
          <w:rFonts w:ascii="仿宋_GB2312" w:eastAsia="仿宋_GB2312" w:hAnsi="仿宋_GB2312" w:cs="仿宋_GB2312"/>
          <w:sz w:val="32"/>
          <w:szCs w:val="32"/>
        </w:rPr>
      </w:pPr>
      <w:hyperlink w:anchor="_Toc25314" w:history="1">
        <w:r w:rsidR="008853A8">
          <w:rPr>
            <w:rFonts w:ascii="仿宋_GB2312" w:eastAsia="仿宋_GB2312" w:hAnsi="仿宋_GB2312" w:cs="仿宋_GB2312" w:hint="eastAsia"/>
            <w:bCs/>
            <w:kern w:val="0"/>
            <w:sz w:val="32"/>
            <w:szCs w:val="32"/>
          </w:rPr>
          <w:t>一、收入支出决算总体情况说明</w:t>
        </w:r>
      </w:hyperlink>
    </w:p>
    <w:p w14:paraId="4572C604" w14:textId="77777777" w:rsidR="008853A8" w:rsidRDefault="00EA656B">
      <w:pPr>
        <w:pStyle w:val="TOC2"/>
        <w:tabs>
          <w:tab w:val="right" w:pos="8306"/>
        </w:tabs>
        <w:ind w:leftChars="0" w:left="0"/>
        <w:rPr>
          <w:rFonts w:ascii="仿宋_GB2312" w:eastAsia="仿宋_GB2312" w:hAnsi="仿宋_GB2312" w:cs="仿宋_GB2312"/>
          <w:sz w:val="32"/>
          <w:szCs w:val="32"/>
        </w:rPr>
      </w:pPr>
      <w:hyperlink w:anchor="_Toc12142" w:history="1">
        <w:r w:rsidR="008853A8">
          <w:rPr>
            <w:rFonts w:ascii="仿宋_GB2312" w:eastAsia="仿宋_GB2312" w:hAnsi="仿宋_GB2312" w:cs="仿宋_GB2312" w:hint="eastAsia"/>
            <w:bCs/>
            <w:kern w:val="0"/>
            <w:sz w:val="32"/>
            <w:szCs w:val="32"/>
          </w:rPr>
          <w:t>二、收入决算情况说明</w:t>
        </w:r>
      </w:hyperlink>
    </w:p>
    <w:p w14:paraId="5F2369D5" w14:textId="77777777" w:rsidR="008853A8" w:rsidRDefault="00EA656B">
      <w:pPr>
        <w:pStyle w:val="TOC2"/>
        <w:tabs>
          <w:tab w:val="right" w:pos="8306"/>
        </w:tabs>
        <w:ind w:leftChars="0" w:left="0"/>
        <w:rPr>
          <w:rFonts w:ascii="仿宋_GB2312" w:eastAsia="仿宋_GB2312" w:hAnsi="仿宋_GB2312" w:cs="仿宋_GB2312"/>
          <w:sz w:val="32"/>
          <w:szCs w:val="32"/>
        </w:rPr>
      </w:pPr>
      <w:hyperlink w:anchor="_Toc13201" w:history="1">
        <w:r w:rsidR="008853A8">
          <w:rPr>
            <w:rFonts w:ascii="仿宋_GB2312" w:eastAsia="仿宋_GB2312" w:hAnsi="仿宋_GB2312" w:cs="仿宋_GB2312" w:hint="eastAsia"/>
            <w:bCs/>
            <w:kern w:val="0"/>
            <w:sz w:val="32"/>
            <w:szCs w:val="32"/>
          </w:rPr>
          <w:t>三、支出决算情况说明</w:t>
        </w:r>
      </w:hyperlink>
    </w:p>
    <w:p w14:paraId="6C9FFD2C" w14:textId="77777777" w:rsidR="008853A8" w:rsidRDefault="00EA656B">
      <w:pPr>
        <w:pStyle w:val="TOC2"/>
        <w:tabs>
          <w:tab w:val="right" w:pos="8306"/>
        </w:tabs>
        <w:ind w:leftChars="0" w:left="0"/>
        <w:rPr>
          <w:rFonts w:ascii="仿宋_GB2312" w:eastAsia="仿宋_GB2312" w:hAnsi="仿宋_GB2312" w:cs="仿宋_GB2312"/>
          <w:sz w:val="32"/>
          <w:szCs w:val="32"/>
        </w:rPr>
      </w:pPr>
      <w:hyperlink w:anchor="_Toc26564" w:history="1">
        <w:r w:rsidR="008853A8">
          <w:rPr>
            <w:rFonts w:ascii="仿宋_GB2312" w:eastAsia="仿宋_GB2312" w:hAnsi="仿宋_GB2312" w:cs="仿宋_GB2312" w:hint="eastAsia"/>
            <w:bCs/>
            <w:kern w:val="0"/>
            <w:sz w:val="32"/>
            <w:szCs w:val="32"/>
          </w:rPr>
          <w:t>四、财政拨款收入支出决算总体情况说明</w:t>
        </w:r>
      </w:hyperlink>
    </w:p>
    <w:p w14:paraId="50C0774C" w14:textId="77777777" w:rsidR="008853A8" w:rsidRDefault="00EA656B">
      <w:pPr>
        <w:pStyle w:val="TOC2"/>
        <w:tabs>
          <w:tab w:val="right" w:pos="8306"/>
        </w:tabs>
        <w:ind w:leftChars="0" w:left="0"/>
        <w:rPr>
          <w:rFonts w:ascii="仿宋_GB2312" w:eastAsia="仿宋_GB2312" w:hAnsi="仿宋_GB2312" w:cs="仿宋_GB2312"/>
          <w:sz w:val="32"/>
          <w:szCs w:val="32"/>
        </w:rPr>
      </w:pPr>
      <w:hyperlink w:anchor="_Toc20360" w:history="1">
        <w:r w:rsidR="008853A8">
          <w:rPr>
            <w:rFonts w:ascii="仿宋_GB2312" w:eastAsia="仿宋_GB2312" w:hAnsi="仿宋_GB2312" w:cs="仿宋_GB2312" w:hint="eastAsia"/>
            <w:bCs/>
            <w:kern w:val="0"/>
            <w:sz w:val="32"/>
            <w:szCs w:val="32"/>
          </w:rPr>
          <w:t>五、一般公共预算财政拨款支出决算情况说明</w:t>
        </w:r>
      </w:hyperlink>
    </w:p>
    <w:p w14:paraId="02AD7142" w14:textId="77777777" w:rsidR="008853A8" w:rsidRDefault="00EA656B">
      <w:pPr>
        <w:pStyle w:val="TOC2"/>
        <w:tabs>
          <w:tab w:val="right" w:pos="8306"/>
        </w:tabs>
        <w:ind w:leftChars="0" w:left="0"/>
        <w:rPr>
          <w:rFonts w:ascii="仿宋_GB2312" w:eastAsia="仿宋_GB2312" w:hAnsi="仿宋_GB2312" w:cs="仿宋_GB2312"/>
          <w:sz w:val="32"/>
          <w:szCs w:val="32"/>
        </w:rPr>
      </w:pPr>
      <w:hyperlink w:anchor="_Toc30870" w:history="1">
        <w:r w:rsidR="008853A8">
          <w:rPr>
            <w:rFonts w:ascii="仿宋_GB2312" w:eastAsia="仿宋_GB2312" w:hAnsi="仿宋_GB2312" w:cs="仿宋_GB2312" w:hint="eastAsia"/>
            <w:bCs/>
            <w:kern w:val="0"/>
            <w:sz w:val="32"/>
            <w:szCs w:val="32"/>
          </w:rPr>
          <w:t>六、一般公共预算财政拨款基本支出决算情况说明</w:t>
        </w:r>
      </w:hyperlink>
    </w:p>
    <w:p w14:paraId="52DEB1DD" w14:textId="77777777" w:rsidR="008853A8" w:rsidRDefault="00EA656B">
      <w:pPr>
        <w:pStyle w:val="TOC2"/>
        <w:tabs>
          <w:tab w:val="right" w:pos="8306"/>
        </w:tabs>
        <w:ind w:leftChars="0" w:left="0"/>
        <w:rPr>
          <w:rFonts w:ascii="仿宋_GB2312" w:eastAsia="仿宋_GB2312" w:hAnsi="仿宋_GB2312" w:cs="仿宋_GB2312"/>
          <w:sz w:val="32"/>
          <w:szCs w:val="32"/>
        </w:rPr>
      </w:pPr>
      <w:hyperlink w:anchor="_Toc21518" w:history="1">
        <w:r w:rsidR="008853A8">
          <w:rPr>
            <w:rFonts w:ascii="仿宋_GB2312" w:eastAsia="仿宋_GB2312" w:hAnsi="仿宋_GB2312" w:cs="仿宋_GB2312" w:hint="eastAsia"/>
            <w:bCs/>
            <w:kern w:val="0"/>
            <w:sz w:val="32"/>
            <w:szCs w:val="32"/>
          </w:rPr>
          <w:t>七、一般公共预算财政拨款“三公”经费支出决算情况说明</w:t>
        </w:r>
      </w:hyperlink>
    </w:p>
    <w:p w14:paraId="445A50AA" w14:textId="77777777" w:rsidR="008853A8" w:rsidRDefault="00EA656B">
      <w:pPr>
        <w:pStyle w:val="TOC2"/>
        <w:tabs>
          <w:tab w:val="right" w:pos="8306"/>
        </w:tabs>
        <w:ind w:leftChars="0" w:left="0"/>
        <w:rPr>
          <w:rFonts w:ascii="仿宋_GB2312" w:eastAsia="仿宋_GB2312" w:hAnsi="仿宋_GB2312" w:cs="仿宋_GB2312"/>
          <w:sz w:val="32"/>
          <w:szCs w:val="32"/>
        </w:rPr>
      </w:pPr>
      <w:hyperlink w:anchor="_Toc5810" w:history="1">
        <w:r w:rsidR="008853A8">
          <w:rPr>
            <w:rFonts w:ascii="仿宋_GB2312" w:eastAsia="仿宋_GB2312" w:hAnsi="仿宋_GB2312" w:cs="仿宋_GB2312" w:hint="eastAsia"/>
            <w:bCs/>
            <w:kern w:val="0"/>
            <w:sz w:val="32"/>
            <w:szCs w:val="32"/>
          </w:rPr>
          <w:t>八、政府性基金预算收入支出决算情况说明</w:t>
        </w:r>
      </w:hyperlink>
    </w:p>
    <w:p w14:paraId="57D57162" w14:textId="77777777" w:rsidR="008853A8" w:rsidRDefault="00EA656B">
      <w:pPr>
        <w:pStyle w:val="TOC2"/>
        <w:tabs>
          <w:tab w:val="right" w:pos="8306"/>
        </w:tabs>
        <w:ind w:leftChars="0" w:left="0"/>
        <w:rPr>
          <w:rFonts w:ascii="仿宋_GB2312" w:eastAsia="仿宋_GB2312" w:hAnsi="仿宋_GB2312" w:cs="仿宋_GB2312"/>
          <w:sz w:val="32"/>
          <w:szCs w:val="32"/>
        </w:rPr>
      </w:pPr>
      <w:hyperlink w:anchor="_Toc1235" w:history="1">
        <w:r w:rsidR="008853A8">
          <w:rPr>
            <w:rFonts w:ascii="仿宋_GB2312" w:eastAsia="仿宋_GB2312" w:hAnsi="仿宋_GB2312" w:cs="仿宋_GB2312" w:hint="eastAsia"/>
            <w:bCs/>
            <w:kern w:val="0"/>
            <w:sz w:val="32"/>
            <w:szCs w:val="32"/>
          </w:rPr>
          <w:t>九、其他重要事项的情况说明</w:t>
        </w:r>
      </w:hyperlink>
    </w:p>
    <w:p w14:paraId="326B9E76" w14:textId="77777777" w:rsidR="008853A8" w:rsidRDefault="00EA656B">
      <w:pPr>
        <w:pStyle w:val="TOC3"/>
        <w:tabs>
          <w:tab w:val="right" w:pos="8306"/>
        </w:tabs>
        <w:ind w:leftChars="0" w:left="0"/>
        <w:rPr>
          <w:rFonts w:ascii="仿宋_GB2312" w:eastAsia="仿宋_GB2312" w:hAnsi="仿宋_GB2312" w:cs="仿宋_GB2312"/>
          <w:sz w:val="32"/>
          <w:szCs w:val="32"/>
        </w:rPr>
      </w:pPr>
      <w:hyperlink w:anchor="_Toc14519" w:history="1">
        <w:r w:rsidR="008853A8">
          <w:rPr>
            <w:rFonts w:ascii="仿宋_GB2312" w:eastAsia="仿宋_GB2312" w:hAnsi="仿宋_GB2312" w:cs="仿宋_GB2312" w:hint="eastAsia"/>
            <w:sz w:val="32"/>
            <w:szCs w:val="32"/>
          </w:rPr>
          <w:t>（一）机关运行经费支出情况</w:t>
        </w:r>
      </w:hyperlink>
    </w:p>
    <w:p w14:paraId="65AAD0E2" w14:textId="77777777" w:rsidR="008853A8" w:rsidRDefault="00EA656B">
      <w:pPr>
        <w:pStyle w:val="TOC3"/>
        <w:tabs>
          <w:tab w:val="right" w:pos="8306"/>
        </w:tabs>
        <w:ind w:leftChars="0" w:left="0"/>
        <w:rPr>
          <w:rFonts w:ascii="仿宋_GB2312" w:eastAsia="仿宋_GB2312" w:hAnsi="仿宋_GB2312" w:cs="仿宋_GB2312"/>
          <w:sz w:val="32"/>
          <w:szCs w:val="32"/>
        </w:rPr>
      </w:pPr>
      <w:hyperlink w:anchor="_Toc227" w:history="1">
        <w:r w:rsidR="008853A8">
          <w:rPr>
            <w:rFonts w:ascii="仿宋_GB2312" w:eastAsia="仿宋_GB2312" w:hAnsi="仿宋_GB2312" w:cs="仿宋_GB2312" w:hint="eastAsia"/>
            <w:sz w:val="32"/>
            <w:szCs w:val="32"/>
          </w:rPr>
          <w:t>（二）政府采购情况</w:t>
        </w:r>
      </w:hyperlink>
    </w:p>
    <w:p w14:paraId="651C5AE5" w14:textId="77777777" w:rsidR="008853A8" w:rsidRDefault="00EA656B">
      <w:pPr>
        <w:pStyle w:val="TOC3"/>
        <w:tabs>
          <w:tab w:val="right" w:pos="8306"/>
        </w:tabs>
        <w:ind w:leftChars="0" w:left="0"/>
        <w:rPr>
          <w:rFonts w:ascii="仿宋_GB2312" w:eastAsia="仿宋_GB2312" w:hAnsi="仿宋_GB2312" w:cs="仿宋_GB2312"/>
          <w:sz w:val="32"/>
          <w:szCs w:val="32"/>
        </w:rPr>
      </w:pPr>
      <w:hyperlink w:anchor="_Toc8391" w:history="1">
        <w:r w:rsidR="008853A8">
          <w:rPr>
            <w:rFonts w:ascii="仿宋_GB2312" w:eastAsia="仿宋_GB2312" w:hAnsi="仿宋_GB2312" w:cs="仿宋_GB2312" w:hint="eastAsia"/>
            <w:sz w:val="32"/>
            <w:szCs w:val="32"/>
          </w:rPr>
          <w:t>（三）国有资产占用情况说明</w:t>
        </w:r>
      </w:hyperlink>
    </w:p>
    <w:p w14:paraId="0BD7F982" w14:textId="77777777" w:rsidR="008853A8" w:rsidRDefault="00EA656B">
      <w:pPr>
        <w:pStyle w:val="TOC2"/>
        <w:tabs>
          <w:tab w:val="right" w:pos="8306"/>
        </w:tabs>
        <w:ind w:leftChars="0" w:left="0"/>
        <w:rPr>
          <w:rFonts w:ascii="仿宋_GB2312" w:eastAsia="仿宋_GB2312" w:hAnsi="仿宋_GB2312" w:cs="仿宋_GB2312"/>
          <w:sz w:val="32"/>
          <w:szCs w:val="32"/>
        </w:rPr>
      </w:pPr>
      <w:hyperlink w:anchor="_Toc11283" w:history="1">
        <w:r w:rsidR="008853A8">
          <w:rPr>
            <w:rFonts w:ascii="仿宋_GB2312" w:eastAsia="仿宋_GB2312" w:hAnsi="仿宋_GB2312" w:cs="仿宋_GB2312" w:hint="eastAsia"/>
            <w:bCs/>
            <w:kern w:val="0"/>
            <w:sz w:val="32"/>
            <w:szCs w:val="32"/>
          </w:rPr>
          <w:t>十、预算绩效的情况说明</w:t>
        </w:r>
      </w:hyperlink>
    </w:p>
    <w:p w14:paraId="778B9C6E" w14:textId="77777777" w:rsidR="008853A8" w:rsidRDefault="00EA656B">
      <w:pPr>
        <w:pStyle w:val="TOC1"/>
        <w:tabs>
          <w:tab w:val="right" w:pos="8306"/>
        </w:tabs>
        <w:rPr>
          <w:rFonts w:ascii="仿宋_GB2312" w:eastAsia="仿宋_GB2312" w:hAnsi="仿宋_GB2312" w:cs="仿宋_GB2312"/>
          <w:b/>
          <w:bCs/>
          <w:sz w:val="32"/>
          <w:szCs w:val="32"/>
        </w:rPr>
      </w:pPr>
      <w:hyperlink w:anchor="_Toc3250" w:history="1">
        <w:r w:rsidR="008853A8">
          <w:rPr>
            <w:rFonts w:ascii="仿宋_GB2312" w:eastAsia="仿宋_GB2312" w:hAnsi="仿宋_GB2312" w:cs="仿宋_GB2312" w:hint="eastAsia"/>
            <w:b/>
            <w:bCs/>
            <w:sz w:val="32"/>
            <w:szCs w:val="32"/>
          </w:rPr>
          <w:t>第三部分 专业名词解释</w:t>
        </w:r>
      </w:hyperlink>
    </w:p>
    <w:p w14:paraId="41FD2E9B" w14:textId="77777777" w:rsidR="008853A8" w:rsidRDefault="00EA656B">
      <w:pPr>
        <w:pStyle w:val="TOC1"/>
        <w:tabs>
          <w:tab w:val="right" w:pos="8306"/>
        </w:tabs>
        <w:rPr>
          <w:rFonts w:ascii="仿宋_GB2312" w:eastAsia="仿宋_GB2312" w:hAnsi="仿宋_GB2312" w:cs="仿宋_GB2312"/>
          <w:b/>
          <w:bCs/>
          <w:sz w:val="32"/>
          <w:szCs w:val="32"/>
        </w:rPr>
      </w:pPr>
      <w:hyperlink w:anchor="_Toc22784" w:history="1">
        <w:r w:rsidR="008853A8">
          <w:rPr>
            <w:rFonts w:ascii="仿宋_GB2312" w:eastAsia="仿宋_GB2312" w:hAnsi="仿宋_GB2312" w:cs="仿宋_GB2312" w:hint="eastAsia"/>
            <w:b/>
            <w:bCs/>
            <w:sz w:val="32"/>
            <w:szCs w:val="32"/>
          </w:rPr>
          <w:t>第四部分 部门决算报表（见附表）</w:t>
        </w:r>
      </w:hyperlink>
    </w:p>
    <w:p w14:paraId="28F1D9E2" w14:textId="77777777" w:rsidR="008853A8" w:rsidRDefault="00EA656B">
      <w:pPr>
        <w:pStyle w:val="TOC2"/>
        <w:tabs>
          <w:tab w:val="right" w:pos="8306"/>
        </w:tabs>
        <w:ind w:leftChars="0" w:left="0"/>
        <w:rPr>
          <w:rFonts w:ascii="仿宋_GB2312" w:eastAsia="仿宋_GB2312" w:hAnsi="仿宋_GB2312" w:cs="仿宋_GB2312"/>
          <w:sz w:val="32"/>
          <w:szCs w:val="32"/>
        </w:rPr>
      </w:pPr>
      <w:hyperlink w:anchor="_Toc2183" w:history="1">
        <w:r w:rsidR="008853A8">
          <w:rPr>
            <w:rFonts w:ascii="仿宋_GB2312" w:eastAsia="仿宋_GB2312" w:hAnsi="仿宋_GB2312" w:cs="仿宋_GB2312" w:hint="eastAsia"/>
            <w:bCs/>
            <w:kern w:val="0"/>
            <w:sz w:val="32"/>
            <w:szCs w:val="32"/>
          </w:rPr>
          <w:t>一、《收入支出决算总表》</w:t>
        </w:r>
      </w:hyperlink>
    </w:p>
    <w:p w14:paraId="61408A51" w14:textId="77777777" w:rsidR="008853A8" w:rsidRDefault="00EA656B">
      <w:pPr>
        <w:pStyle w:val="TOC2"/>
        <w:tabs>
          <w:tab w:val="right" w:pos="8306"/>
        </w:tabs>
        <w:ind w:leftChars="0" w:left="0"/>
        <w:rPr>
          <w:rFonts w:ascii="仿宋_GB2312" w:eastAsia="仿宋_GB2312" w:hAnsi="仿宋_GB2312" w:cs="仿宋_GB2312"/>
          <w:sz w:val="32"/>
          <w:szCs w:val="32"/>
        </w:rPr>
      </w:pPr>
      <w:hyperlink w:anchor="_Toc24532" w:history="1">
        <w:r w:rsidR="008853A8">
          <w:rPr>
            <w:rFonts w:ascii="仿宋_GB2312" w:eastAsia="仿宋_GB2312" w:hAnsi="仿宋_GB2312" w:cs="仿宋_GB2312" w:hint="eastAsia"/>
            <w:bCs/>
            <w:kern w:val="0"/>
            <w:sz w:val="32"/>
            <w:szCs w:val="32"/>
          </w:rPr>
          <w:t>二、《收入决算表》</w:t>
        </w:r>
      </w:hyperlink>
    </w:p>
    <w:p w14:paraId="04072FC1" w14:textId="77777777" w:rsidR="008853A8" w:rsidRDefault="00EA656B">
      <w:pPr>
        <w:pStyle w:val="TOC2"/>
        <w:tabs>
          <w:tab w:val="right" w:pos="8306"/>
        </w:tabs>
        <w:ind w:leftChars="0" w:left="0"/>
        <w:rPr>
          <w:rFonts w:ascii="仿宋_GB2312" w:eastAsia="仿宋_GB2312" w:hAnsi="仿宋_GB2312" w:cs="仿宋_GB2312"/>
          <w:sz w:val="32"/>
          <w:szCs w:val="32"/>
        </w:rPr>
      </w:pPr>
      <w:hyperlink w:anchor="_Toc32434" w:history="1">
        <w:r w:rsidR="008853A8">
          <w:rPr>
            <w:rFonts w:ascii="仿宋_GB2312" w:eastAsia="仿宋_GB2312" w:hAnsi="仿宋_GB2312" w:cs="仿宋_GB2312" w:hint="eastAsia"/>
            <w:bCs/>
            <w:kern w:val="0"/>
            <w:sz w:val="32"/>
            <w:szCs w:val="32"/>
          </w:rPr>
          <w:t>三、《支出决算表》</w:t>
        </w:r>
      </w:hyperlink>
    </w:p>
    <w:p w14:paraId="22BFA8ED" w14:textId="77777777" w:rsidR="008853A8" w:rsidRDefault="00EA656B">
      <w:pPr>
        <w:pStyle w:val="TOC2"/>
        <w:tabs>
          <w:tab w:val="right" w:pos="8306"/>
        </w:tabs>
        <w:ind w:leftChars="0" w:left="0"/>
        <w:rPr>
          <w:rFonts w:ascii="仿宋_GB2312" w:eastAsia="仿宋_GB2312" w:hAnsi="仿宋_GB2312" w:cs="仿宋_GB2312"/>
          <w:sz w:val="32"/>
          <w:szCs w:val="32"/>
        </w:rPr>
      </w:pPr>
      <w:hyperlink w:anchor="_Toc28786" w:history="1">
        <w:r w:rsidR="008853A8">
          <w:rPr>
            <w:rFonts w:ascii="仿宋_GB2312" w:eastAsia="仿宋_GB2312" w:hAnsi="仿宋_GB2312" w:cs="仿宋_GB2312" w:hint="eastAsia"/>
            <w:bCs/>
            <w:kern w:val="0"/>
            <w:sz w:val="32"/>
            <w:szCs w:val="32"/>
          </w:rPr>
          <w:t>四、《财政拨款收入支出决算总表》</w:t>
        </w:r>
      </w:hyperlink>
    </w:p>
    <w:p w14:paraId="2DC04D36" w14:textId="77777777" w:rsidR="008853A8" w:rsidRDefault="00EA656B">
      <w:pPr>
        <w:pStyle w:val="TOC2"/>
        <w:tabs>
          <w:tab w:val="right" w:pos="8306"/>
        </w:tabs>
        <w:ind w:leftChars="0" w:left="0"/>
        <w:rPr>
          <w:rFonts w:ascii="仿宋_GB2312" w:eastAsia="仿宋_GB2312" w:hAnsi="仿宋_GB2312" w:cs="仿宋_GB2312"/>
          <w:sz w:val="32"/>
          <w:szCs w:val="32"/>
        </w:rPr>
      </w:pPr>
      <w:hyperlink w:anchor="_Toc14869" w:history="1">
        <w:r w:rsidR="008853A8">
          <w:rPr>
            <w:rFonts w:ascii="仿宋_GB2312" w:eastAsia="仿宋_GB2312" w:hAnsi="仿宋_GB2312" w:cs="仿宋_GB2312" w:hint="eastAsia"/>
            <w:bCs/>
            <w:kern w:val="0"/>
            <w:sz w:val="32"/>
            <w:szCs w:val="32"/>
          </w:rPr>
          <w:t>五、《一般公共预算财政拨款支出决算表》</w:t>
        </w:r>
      </w:hyperlink>
    </w:p>
    <w:p w14:paraId="455EE489" w14:textId="77777777" w:rsidR="008853A8" w:rsidRDefault="00EA656B">
      <w:pPr>
        <w:pStyle w:val="TOC2"/>
        <w:tabs>
          <w:tab w:val="right" w:pos="8306"/>
        </w:tabs>
        <w:ind w:leftChars="0" w:left="0"/>
        <w:rPr>
          <w:rFonts w:ascii="仿宋_GB2312" w:eastAsia="仿宋_GB2312" w:hAnsi="仿宋_GB2312" w:cs="仿宋_GB2312"/>
          <w:sz w:val="32"/>
          <w:szCs w:val="32"/>
        </w:rPr>
      </w:pPr>
      <w:hyperlink w:anchor="_Toc8884" w:history="1">
        <w:r w:rsidR="008853A8">
          <w:rPr>
            <w:rFonts w:ascii="仿宋_GB2312" w:eastAsia="仿宋_GB2312" w:hAnsi="仿宋_GB2312" w:cs="仿宋_GB2312" w:hint="eastAsia"/>
            <w:bCs/>
            <w:kern w:val="0"/>
            <w:sz w:val="32"/>
            <w:szCs w:val="32"/>
          </w:rPr>
          <w:t>六、《一般公共预算财政拨款基本支出决算表》</w:t>
        </w:r>
      </w:hyperlink>
    </w:p>
    <w:p w14:paraId="64724664" w14:textId="77777777" w:rsidR="008853A8" w:rsidRDefault="00EA656B">
      <w:pPr>
        <w:pStyle w:val="TOC2"/>
        <w:tabs>
          <w:tab w:val="right" w:pos="8306"/>
        </w:tabs>
        <w:ind w:leftChars="0" w:left="0"/>
        <w:rPr>
          <w:rFonts w:ascii="仿宋_GB2312" w:eastAsia="仿宋_GB2312" w:hAnsi="仿宋_GB2312" w:cs="仿宋_GB2312"/>
          <w:sz w:val="32"/>
          <w:szCs w:val="32"/>
        </w:rPr>
      </w:pPr>
      <w:hyperlink w:anchor="_Toc29106" w:history="1">
        <w:r w:rsidR="008853A8">
          <w:rPr>
            <w:rFonts w:ascii="仿宋_GB2312" w:eastAsia="仿宋_GB2312" w:hAnsi="仿宋_GB2312" w:cs="仿宋_GB2312" w:hint="eastAsia"/>
            <w:bCs/>
            <w:kern w:val="0"/>
            <w:sz w:val="32"/>
            <w:szCs w:val="32"/>
          </w:rPr>
          <w:t>七、《一般公共预算财政拨款“三公”经费支出决算表》</w:t>
        </w:r>
      </w:hyperlink>
    </w:p>
    <w:p w14:paraId="0F035661" w14:textId="77777777" w:rsidR="008853A8" w:rsidRDefault="00EA656B">
      <w:pPr>
        <w:pStyle w:val="TOC2"/>
        <w:tabs>
          <w:tab w:val="right" w:pos="8306"/>
        </w:tabs>
        <w:ind w:leftChars="0" w:left="0"/>
        <w:rPr>
          <w:rFonts w:ascii="仿宋_GB2312" w:eastAsia="仿宋_GB2312" w:hAnsi="仿宋_GB2312" w:cs="仿宋_GB2312"/>
          <w:sz w:val="32"/>
          <w:szCs w:val="32"/>
        </w:rPr>
      </w:pPr>
      <w:hyperlink w:anchor="_Toc7643" w:history="1">
        <w:r w:rsidR="008853A8">
          <w:rPr>
            <w:rFonts w:ascii="仿宋_GB2312" w:eastAsia="仿宋_GB2312" w:hAnsi="仿宋_GB2312" w:cs="仿宋_GB2312" w:hint="eastAsia"/>
            <w:bCs/>
            <w:kern w:val="0"/>
            <w:sz w:val="32"/>
            <w:szCs w:val="32"/>
          </w:rPr>
          <w:t>八、《政府性基金预算财政拨款收入支出决算表》</w:t>
        </w:r>
      </w:hyperlink>
    </w:p>
    <w:p w14:paraId="0E1577DF" w14:textId="77777777" w:rsidR="008853A8" w:rsidRDefault="008853A8">
      <w:r>
        <w:rPr>
          <w:rFonts w:ascii="仿宋_GB2312" w:eastAsia="仿宋_GB2312" w:hAnsi="仿宋_GB2312" w:cs="仿宋_GB2312" w:hint="eastAsia"/>
          <w:sz w:val="32"/>
          <w:szCs w:val="32"/>
        </w:rPr>
        <w:fldChar w:fldCharType="end"/>
      </w:r>
    </w:p>
    <w:p w14:paraId="68A45511" w14:textId="77777777" w:rsidR="008853A8" w:rsidRDefault="008853A8">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bookmarkStart w:id="0" w:name="_Toc24028"/>
      <w:bookmarkStart w:id="1" w:name="_Toc32314"/>
      <w:r>
        <w:rPr>
          <w:rFonts w:ascii="黑体" w:eastAsia="黑体" w:hAnsi="黑体" w:hint="eastAsia"/>
          <w:sz w:val="32"/>
          <w:szCs w:val="32"/>
        </w:rPr>
        <w:lastRenderedPageBreak/>
        <w:t>第一部分 部门单位概况</w:t>
      </w:r>
      <w:bookmarkEnd w:id="0"/>
      <w:bookmarkEnd w:id="1"/>
    </w:p>
    <w:p w14:paraId="036049B7" w14:textId="77777777" w:rsidR="008853A8" w:rsidRDefault="008853A8">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pPr>
        <w:ind w:firstLine="480"/>
        <w:jc w:val="both"/>
      </w:pPr>
      <w:r>
        <w:rPr>
          <w:rFonts w:ascii="仿宋_GB2312" w:hAnsi="仿宋_GB2312" w:cs="仿宋_GB2312" w:eastAsia="仿宋_GB2312"/>
          <w:b w:val="false"/>
          <w:sz w:val="32"/>
        </w:rPr>
        <w:t>管理本地区纤维质量监督行政执法工作；管理本地区纤维质量监督工作，组织实施本地区纤维监督检验、公证检验、委托检验、复核检验、仲裁检验，向社会提供技术服务；组织实施本地区有关纤维质量监督和纤维检验技术的宣传、建议、科研、信息、统计工作。</w:t>
      </w:r>
    </w:p>
    <w:p w14:paraId="22BD2715" w14:textId="3A98898C" w:rsidR="008853A8" w:rsidRDefault="008853A8">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08E18313" w14:textId="72E3148E" w:rsidR="001F777A" w:rsidRPr="001F777A" w:rsidRDefault="001F777A" w:rsidP="001F777A">
      <w:pPr>
        <w:ind w:firstLineChars="200" w:firstLine="640"/>
      </w:pPr>
      <w:r>
        <w:rPr>
          <w:rFonts w:ascii="仿宋_GB2312" w:hAnsi="仿宋_GB2312" w:cs="仿宋_GB2312" w:eastAsia="仿宋_GB2312"/>
          <w:sz w:val="32"/>
        </w:rPr>
        <w:t>新疆喀什地区纤维检验所2019年度，实有人数35人，其中：在职人员30人，离休人员0人，退休人员5人。</w:t>
      </w:r>
    </w:p>
    <w:p w14:paraId="65B8FE61" w14:textId="77777777" w:rsidR="00862395" w:rsidRDefault="00862395" w:rsidP="00862395">
      <w:pPr>
        <w:ind w:firstLineChars="200" w:firstLine="640"/>
        <w:rPr>
          <w:rFonts w:ascii="仿宋_GB2312" w:eastAsia="仿宋_GB2312"/>
          <w:sz w:val="32"/>
          <w:szCs w:val="32"/>
        </w:rPr>
      </w:pPr>
      <w:r>
        <w:rPr>
          <w:rFonts w:ascii="仿宋_GB2312" w:hAnsi="仿宋_GB2312" w:cs="仿宋_GB2312" w:eastAsia="仿宋_GB2312"/>
          <w:sz w:val="32"/>
        </w:rPr>
        <w:t>从部门决算单位构成看，新疆喀什地区纤维检验所部门决算包括：新疆喀什地区纤维检验所决算。</w:t>
      </w:r>
    </w:p>
    <w:p w14:paraId="2C581B27" w14:textId="77777777" w:rsidR="008853A8" w:rsidRDefault="008853A8">
      <w:pPr>
        <w:ind w:firstLineChars="200" w:firstLine="640"/>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t>第二部分 部门决算情况说明</w:t>
      </w:r>
      <w:bookmarkEnd w:id="6"/>
      <w:bookmarkEnd w:id="7"/>
    </w:p>
    <w:p w14:paraId="4B167492" w14:textId="77777777" w:rsidR="008853A8" w:rsidRDefault="008853A8">
      <w:pPr>
        <w:ind w:firstLineChars="200" w:firstLine="640"/>
        <w:outlineLvl w:val="1"/>
        <w:rPr>
          <w:rFonts w:ascii="黑体" w:eastAsia="黑体" w:hAnsi="黑体" w:cs="宋体"/>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3782D0DE" w14:textId="3E55FEDD" w:rsidR="008853A8" w:rsidRDefault="007E3BFD">
      <w:pPr>
        <w:ind w:firstLineChars="200" w:firstLine="640"/>
        <w:rPr>
          <w:rFonts w:ascii="仿宋_GB2312" w:eastAsia="仿宋_GB2312"/>
          <w:sz w:val="32"/>
          <w:szCs w:val="32"/>
        </w:rPr>
      </w:pPr>
      <w:r>
        <w:rPr>
          <w:rFonts w:ascii="仿宋_GB2312" w:hAnsi="仿宋_GB2312" w:cs="仿宋_GB2312" w:eastAsia="仿宋_GB2312"/>
          <w:sz w:val="32"/>
        </w:rPr>
        <w:t>2019年度本年收入2,297.07万元，与上年相比，增加289.93万元，增长14.44%，主要原因是：1、新增2人，基本支出收入较上年增长。2、本年购置棉花仪器化公检设备，项目支出收入较上年增加。本年支出2,297.07万元，与上年相比，增加289.93万元，增长14.44%，主要原因是：1、新增2人，工资福利等支出较上年增加。2、本年新购置棉花仪器化公检设备，项目支出较上年增加。</w:t>
      </w:r>
    </w:p>
    <w:p w14:paraId="3093A798" w14:textId="77777777" w:rsidR="008853A8" w:rsidRDefault="008853A8">
      <w:pPr>
        <w:ind w:firstLineChars="200" w:firstLine="640"/>
        <w:outlineLvl w:val="1"/>
        <w:rPr>
          <w:rFonts w:ascii="黑体" w:eastAsia="黑体" w:hAnsi="黑体" w:cs="宋体"/>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2B914EFB" w14:textId="75DF8F00" w:rsidR="008853A8" w:rsidRDefault="00125A6F">
      <w:pPr>
        <w:ind w:firstLineChars="200" w:firstLine="640"/>
        <w:rPr>
          <w:rFonts w:ascii="仿宋_GB2312" w:eastAsia="仿宋_GB2312"/>
          <w:sz w:val="32"/>
          <w:szCs w:val="32"/>
        </w:rPr>
      </w:pPr>
      <w:r>
        <w:rPr>
          <w:rFonts w:ascii="仿宋_GB2312" w:hAnsi="仿宋_GB2312" w:cs="仿宋_GB2312" w:eastAsia="仿宋_GB2312"/>
          <w:sz w:val="32"/>
        </w:rPr>
        <w:t>2019年度本年收入2,297.07万元，其中：财政拨款收入2,297.07万元，占100%；上级补助收入0万元，占0%；事业收入0万元，占0%；经营收入0万元，占0%；附属单位上缴收入0万元，占0%；其他收入0万元，占0%。</w:t>
      </w:r>
    </w:p>
    <w:p w14:paraId="008FC815" w14:textId="77777777" w:rsidR="008853A8" w:rsidRDefault="008853A8">
      <w:pPr>
        <w:ind w:firstLineChars="200" w:firstLine="640"/>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26FB7964" w14:textId="23D4D7B7" w:rsidR="008853A8" w:rsidRDefault="00233021">
      <w:pPr>
        <w:ind w:firstLineChars="200" w:firstLine="640"/>
        <w:rPr>
          <w:rFonts w:ascii="仿宋_GB2312" w:eastAsia="仿宋_GB2312"/>
          <w:sz w:val="32"/>
          <w:szCs w:val="32"/>
        </w:rPr>
      </w:pPr>
      <w:r>
        <w:rPr>
          <w:rFonts w:ascii="仿宋_GB2312" w:hAnsi="仿宋_GB2312" w:cs="仿宋_GB2312" w:eastAsia="仿宋_GB2312"/>
          <w:sz w:val="32"/>
        </w:rPr>
        <w:t>2019年度本年支出2,297.07万元，其中：基本支出479.61万元，占20.88%；项目支出1,817.46万元，占79.12%；上缴上级支出0万元，占0%；经营支出0万元，占0%；对附属单位补助支出0万元，占0%。</w:t>
      </w:r>
    </w:p>
    <w:p w14:paraId="186CA7CE" w14:textId="77777777" w:rsidR="008853A8" w:rsidRDefault="008853A8">
      <w:pPr>
        <w:ind w:firstLineChars="200" w:firstLine="640"/>
        <w:outlineLvl w:val="1"/>
        <w:rPr>
          <w:rFonts w:ascii="黑体" w:eastAsia="黑体" w:hAnsi="黑体" w:cs="宋体"/>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14:paraId="1B6E4AD7" w14:textId="100B88EF" w:rsidR="008853A8" w:rsidRPr="001848EE" w:rsidRDefault="001C2D35">
      <w:pPr>
        <w:ind w:firstLineChars="200" w:firstLine="640"/>
        <w:rPr>
          <w:rFonts w:ascii="仿宋_GB2312" w:eastAsia="仿宋_GB2312"/>
          <w:sz w:val="32"/>
          <w:szCs w:val="32"/>
        </w:rPr>
      </w:pPr>
      <w:r>
        <w:rPr>
          <w:rFonts w:ascii="仿宋_GB2312" w:hAnsi="仿宋_GB2312" w:cs="仿宋_GB2312" w:eastAsia="仿宋_GB2312"/>
          <w:sz w:val="32"/>
        </w:rPr>
        <w:t>2019年度财政拨款收入2,297.07万元，与上年相比，增加292.39万元，增长14.59%，主要原因是：1、新增2人，基本支出收入较上年增长。2、本年购置棉花仪器化公检设备，项目支出收入较上年增加。财政拨款支出2,297.07万元，与上年相比，增加292.39万元，增长14.59%，主要原因是：1、新增2人，工资福利等支出较上年增加。2、本年新购置棉花仪器化公检设备，项目支出较上年增加。</w:t>
      </w:r>
    </w:p>
    <w:p w14:paraId="7139D063" w14:textId="11D128B6"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财政拨款收入年初预算数499.73万元，决算数2,297.07万元，预决算差异率359.66%，主要原因是：财政拨款收入年初预算数不包括上级拨付专项资金，决算数包括上级拨付专项资金支出金额。财政拨款支出年初预算数3,562.73万元，决算数2,297.07万元，预决算差异率-35.53%，主要原因是：由于棉花公证检验工作的特殊性，项目未执行完毕。</w:t>
      </w:r>
    </w:p>
    <w:p w14:paraId="51FC69F3" w14:textId="77777777" w:rsidR="008853A8" w:rsidRDefault="008853A8">
      <w:pPr>
        <w:ind w:firstLineChars="200" w:firstLine="640"/>
        <w:outlineLvl w:val="1"/>
        <w:rPr>
          <w:rFonts w:ascii="黑体" w:eastAsia="黑体" w:hAnsi="黑体" w:cs="宋体"/>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5B797ACC" w14:textId="2DDC565C" w:rsidR="008853A8" w:rsidRDefault="005529D0">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2019年度一般公共预算财政拨款支出2,297.07万元。按功能分类科目项级科目公开，其中：</w:t>
      </w:r>
    </w:p>
    <w:p>
      <w:pPr>
        <w:ind w:firstLine="480"/>
        <w:jc w:val="both"/>
      </w:pPr>
      <w:r>
        <w:rPr>
          <w:rFonts w:ascii="仿宋_GB2312" w:hAnsi="仿宋_GB2312" w:cs="仿宋_GB2312" w:eastAsia="仿宋_GB2312"/>
          <w:b w:val="false"/>
          <w:sz w:val="32"/>
        </w:rPr>
        <w:t xml:space="preserve">   2013804市场监督管理专项支出473.46万元；</w:t>
      </w:r>
    </w:p>
    <w:p>
      <w:pPr>
        <w:ind w:firstLine="480"/>
        <w:jc w:val="both"/>
      </w:pPr>
      <w:r>
        <w:rPr>
          <w:rFonts w:ascii="仿宋_GB2312" w:hAnsi="仿宋_GB2312" w:cs="仿宋_GB2312" w:eastAsia="仿宋_GB2312"/>
          <w:b w:val="false"/>
          <w:sz w:val="32"/>
        </w:rPr>
        <w:t xml:space="preserve">   2013809市场监督管理技术支持支出1,344万元；</w:t>
      </w:r>
    </w:p>
    <w:p>
      <w:pPr>
        <w:ind w:firstLine="480"/>
        <w:jc w:val="both"/>
      </w:pPr>
      <w:r>
        <w:rPr>
          <w:rFonts w:ascii="仿宋_GB2312" w:hAnsi="仿宋_GB2312" w:cs="仿宋_GB2312" w:eastAsia="仿宋_GB2312"/>
          <w:b w:val="false"/>
          <w:sz w:val="32"/>
        </w:rPr>
        <w:t xml:space="preserve">   2013850事业运行支出403.99万元；</w:t>
      </w:r>
    </w:p>
    <w:p>
      <w:pPr>
        <w:ind w:firstLine="480"/>
        <w:jc w:val="both"/>
      </w:pPr>
      <w:r>
        <w:rPr>
          <w:rFonts w:ascii="仿宋_GB2312" w:hAnsi="仿宋_GB2312" w:cs="仿宋_GB2312" w:eastAsia="仿宋_GB2312"/>
          <w:b w:val="false"/>
          <w:sz w:val="32"/>
        </w:rPr>
        <w:t xml:space="preserve">   2080505机关事业单位基本养老保险缴费支出43.06万元；</w:t>
      </w:r>
    </w:p>
    <w:p>
      <w:pPr>
        <w:ind w:firstLine="480"/>
        <w:jc w:val="both"/>
      </w:pPr>
      <w:r>
        <w:rPr>
          <w:rFonts w:ascii="仿宋_GB2312" w:hAnsi="仿宋_GB2312" w:cs="仿宋_GB2312" w:eastAsia="仿宋_GB2312"/>
          <w:b w:val="false"/>
          <w:sz w:val="32"/>
        </w:rPr>
        <w:t xml:space="preserve">   2080506机关事业单位职业年金缴费支出0.57万元；</w:t>
      </w:r>
    </w:p>
    <w:p>
      <w:pPr>
        <w:ind w:firstLine="480"/>
        <w:jc w:val="both"/>
      </w:pPr>
      <w:r>
        <w:rPr>
          <w:rFonts w:ascii="仿宋_GB2312" w:hAnsi="仿宋_GB2312" w:cs="仿宋_GB2312" w:eastAsia="仿宋_GB2312"/>
          <w:b w:val="false"/>
          <w:sz w:val="32"/>
        </w:rPr>
        <w:t xml:space="preserve">   2210201住房公积金支出32万元。</w:t>
      </w:r>
    </w:p>
    <w:p w14:paraId="049DFBB4" w14:textId="77777777" w:rsidR="008853A8" w:rsidRDefault="008853A8">
      <w:pPr>
        <w:ind w:firstLineChars="200" w:firstLine="640"/>
        <w:outlineLvl w:val="1"/>
        <w:rPr>
          <w:rFonts w:ascii="黑体" w:eastAsia="黑体" w:hAnsi="黑体" w:cs="宋体"/>
          <w:bCs/>
          <w:kern w:val="0"/>
          <w:sz w:val="32"/>
          <w:szCs w:val="32"/>
        </w:rPr>
      </w:pPr>
      <w:bookmarkStart w:id="18" w:name="_Toc11146"/>
      <w:bookmarkStart w:id="19" w:name="_Toc30870"/>
      <w:r>
        <w:rPr>
          <w:rFonts w:ascii="黑体" w:eastAsia="黑体" w:hAnsi="黑体" w:cs="宋体" w:hint="eastAsia"/>
          <w:bCs/>
          <w:kern w:val="0"/>
          <w:sz w:val="32"/>
          <w:szCs w:val="32"/>
        </w:rPr>
        <w:t>六、一般公共预算财政拨款基本支出决算情况说明</w:t>
      </w:r>
      <w:bookmarkEnd w:id="18"/>
      <w:bookmarkEnd w:id="19"/>
    </w:p>
    <w:p w14:paraId="3BCDD0A1" w14:textId="25AC9A26" w:rsidR="008853A8" w:rsidRDefault="005B1DE6">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2019年度一般公共预算财政拨款基本支出479.61万元，其中：</w:t>
      </w:r>
    </w:p>
    <w:p w14:paraId="61C978B8" w14:textId="68C70B32"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人员经费436.72万元，包括：基本工资、津贴补贴、奖金、绩效工资、机关事业单位基本养老保险缴费、职业年金缴费、职工基本医疗保险缴费、其他社会保障缴费、住房公积金、退休费、生活补助、奖励金。</w:t>
      </w:r>
    </w:p>
    <w:p w14:paraId="09290895" w14:textId="4CFD8C08"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公用经费42.89万元，包括：办公费、水费、电费、邮电费、取暖费、差旅费、公务用车运行维护费。</w:t>
      </w:r>
    </w:p>
    <w:p w14:paraId="1F5CEF98" w14:textId="77777777" w:rsidR="008853A8" w:rsidRDefault="008853A8">
      <w:pPr>
        <w:ind w:firstLineChars="200" w:firstLine="640"/>
        <w:outlineLvl w:val="1"/>
        <w:rPr>
          <w:rFonts w:ascii="黑体" w:eastAsia="黑体" w:hAnsi="黑体" w:cs="宋体"/>
          <w:bCs/>
          <w:kern w:val="0"/>
          <w:sz w:val="32"/>
          <w:szCs w:val="32"/>
        </w:rPr>
      </w:pPr>
      <w:bookmarkStart w:id="20" w:name="_Toc7190"/>
      <w:bookmarkStart w:id="21" w:name="_Toc21518"/>
      <w:r>
        <w:rPr>
          <w:rFonts w:ascii="黑体" w:eastAsia="黑体" w:hAnsi="黑体" w:cs="宋体" w:hint="eastAsia"/>
          <w:bCs/>
          <w:kern w:val="0"/>
          <w:sz w:val="32"/>
          <w:szCs w:val="32"/>
        </w:rPr>
        <w:t>七、一般公共预算财政拨款“三公”经费支出决算情况说明</w:t>
      </w:r>
      <w:bookmarkEnd w:id="20"/>
      <w:bookmarkEnd w:id="21"/>
    </w:p>
    <w:p w14:paraId="4B605590" w14:textId="2ECB7DD7" w:rsidR="008853A8" w:rsidRDefault="00340AE7">
      <w:pPr>
        <w:ind w:firstLineChars="200" w:firstLine="640"/>
        <w:rPr>
          <w:rFonts w:ascii="仿宋_GB2312" w:eastAsia="仿宋_GB2312"/>
          <w:sz w:val="32"/>
          <w:szCs w:val="32"/>
        </w:rPr>
      </w:pPr>
      <w:r>
        <w:rPr>
          <w:rFonts w:ascii="仿宋_GB2312" w:hAnsi="仿宋_GB2312" w:cs="仿宋_GB2312" w:eastAsia="仿宋_GB2312"/>
          <w:sz w:val="32"/>
        </w:rPr>
        <w:t>2019年度一般公共预算“三公”经费支出决算10.40万元，比上年增加0万元，增长0%，主要原因是与上年相比情况无变化。其中，因公出国（境）费支出0万元，占0%，比上年增加0万元，增长0%，主要原因是与上年相比情况无变化；公务用车购置及运行维护费支出10.40万元，占100%，比上年增加0万元，增长0%，主要原因是与上年相比情况无变化；公务接待费支出0万元，占0%，比上年增加0万元，增长0%，主要原因是与上年相比情况无变化。具体情况如下：</w:t>
      </w:r>
    </w:p>
    <w:p w14:paraId="49BF49C2" w14:textId="3BDB51C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因公出国（境）费支出0万元，开支内容包括：无因公出国（境）费支出。单位全年安排的因公出国（境）团组0个，因公出国（境）0人次。</w:t>
      </w:r>
    </w:p>
    <w:p w14:paraId="4A7D6627" w14:textId="2636864C"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用车购置及运行维护费10.40万元，其中，公务用车购置费0万元，公务用车运行维护费10.40万元。公务用车运行维护费开支内容包括公务用车维修费、油料费、保险费。公务用车购置数0辆，公务用车保有量8辆。</w:t>
      </w:r>
    </w:p>
    <w:p w14:paraId="47C4B55E" w14:textId="65759774"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公务接待费0万元，开支内容包括无公务接待费支出。单位全年安排的国内公务接待0批次，0人次。</w:t>
      </w:r>
    </w:p>
    <w:p w14:paraId="606EB0C3" w14:textId="1E9AC7CE"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一般公共预算“三公”经费支出年初预算数10.40万元，决算数10.40万元，预决算差异率0%，主要原因是：厉行节约，严格按照预算金额开支经费。其中：因公出国（境）费预算数0万元，决算数0万元，预决算差异率0%，主要原因是：无因公出国（境）费支出；公务用车购置费预算数0万元，决算数0万元，预决算差异率0%，主要原因是：无公务用车购置费支出；公务用车运行费预算数10.40万元，决算数10.40万元，预决算差异率0%，主要原因是：厉行节约，严格按照预算金额开支经费；公务接待费预算数0万元，决算数0万元，预决算差异率0%，主要原因是：无公务接待费支出。</w:t>
      </w:r>
    </w:p>
    <w:p w14:paraId="11800BF9" w14:textId="2A0977DB" w:rsidR="008853A8" w:rsidRDefault="008853A8">
      <w:pPr>
        <w:ind w:firstLineChars="200" w:firstLine="640"/>
        <w:outlineLvl w:val="1"/>
        <w:rPr>
          <w:rFonts w:ascii="黑体" w:eastAsia="黑体" w:hAnsi="黑体" w:cs="宋体"/>
          <w:bCs/>
          <w:kern w:val="0"/>
          <w:sz w:val="32"/>
          <w:szCs w:val="32"/>
        </w:rPr>
      </w:pPr>
      <w:bookmarkStart w:id="22" w:name="_Toc7927"/>
      <w:bookmarkStart w:id="23" w:name="_Toc5810"/>
      <w:r>
        <w:rPr>
          <w:rFonts w:ascii="黑体" w:eastAsia="黑体" w:hAnsi="黑体" w:cs="宋体" w:hint="eastAsia"/>
          <w:bCs/>
          <w:kern w:val="0"/>
          <w:sz w:val="32"/>
          <w:szCs w:val="32"/>
        </w:rPr>
        <w:t>八、政府性基金预算收入支出决算情况说明</w:t>
      </w:r>
      <w:bookmarkEnd w:id="22"/>
      <w:bookmarkEnd w:id="23"/>
    </w:p>
    <w:p w14:paraId="1D95B262" w14:textId="74B49A74" w:rsidR="008853A8" w:rsidRPr="008F7D99" w:rsidRDefault="00922FA7">
      <w:pPr>
        <w:ind w:firstLineChars="200" w:firstLine="640"/>
        <w:rPr>
          <w:rFonts w:ascii="仿宋_GB2312" w:eastAsia="仿宋_GB2312"/>
          <w:color w:val="000000" w:themeColor="text1"/>
          <w:sz w:val="32"/>
          <w:szCs w:val="32"/>
        </w:rPr>
      </w:pPr>
      <w:r>
        <w:rPr>
          <w:rFonts w:ascii="仿宋_GB2312" w:hAnsi="仿宋_GB2312" w:cs="仿宋_GB2312" w:eastAsia="仿宋_GB2312"/>
          <w:sz w:val="32"/>
        </w:rPr>
        <w:t>我单位本年度无政府性基金预算财政拨款收入支出，政府性基金预算财政拨款收入支出决算表为空表。</w:t>
      </w:r>
    </w:p>
    <w:p w14:paraId="12E90A62" w14:textId="77777777" w:rsidR="008853A8" w:rsidRDefault="008853A8">
      <w:pPr>
        <w:ind w:firstLineChars="200" w:firstLine="640"/>
        <w:outlineLvl w:val="1"/>
        <w:rPr>
          <w:rFonts w:ascii="黑体" w:eastAsia="黑体" w:hAnsi="黑体" w:cs="宋体"/>
          <w:bCs/>
          <w:kern w:val="0"/>
          <w:sz w:val="32"/>
          <w:szCs w:val="32"/>
        </w:rPr>
      </w:pPr>
      <w:bookmarkStart w:id="24" w:name="_Toc7314"/>
      <w:bookmarkStart w:id="25" w:name="_Toc1235"/>
      <w:r>
        <w:rPr>
          <w:rFonts w:ascii="黑体" w:eastAsia="黑体" w:hAnsi="黑体" w:cs="宋体" w:hint="eastAsia"/>
          <w:bCs/>
          <w:kern w:val="0"/>
          <w:sz w:val="32"/>
          <w:szCs w:val="32"/>
        </w:rPr>
        <w:t>九、其他重要事项的情况说明</w:t>
      </w:r>
      <w:bookmarkEnd w:id="24"/>
      <w:bookmarkEnd w:id="25"/>
    </w:p>
    <w:p w14:paraId="11400E99" w14:textId="77777777" w:rsidR="008853A8" w:rsidRDefault="008853A8">
      <w:pPr>
        <w:ind w:firstLineChars="200" w:firstLine="640"/>
        <w:outlineLvl w:val="2"/>
        <w:rPr>
          <w:rFonts w:ascii="黑体" w:eastAsia="黑体" w:hAnsi="黑体"/>
          <w:sz w:val="32"/>
          <w:szCs w:val="32"/>
        </w:rPr>
      </w:pPr>
      <w:bookmarkStart w:id="26" w:name="_Toc13105"/>
      <w:bookmarkStart w:id="27" w:name="_Toc14519"/>
      <w:r>
        <w:rPr>
          <w:rFonts w:ascii="黑体" w:eastAsia="黑体" w:hAnsi="黑体" w:hint="eastAsia"/>
          <w:sz w:val="32"/>
          <w:szCs w:val="32"/>
        </w:rPr>
        <w:t>（一）机关运行经费支出情况</w:t>
      </w:r>
      <w:bookmarkEnd w:id="26"/>
      <w:bookmarkEnd w:id="27"/>
    </w:p>
    <w:p w14:paraId="75A0F21C" w14:textId="3A75121C" w:rsidR="00553FB5" w:rsidRDefault="00553FB5">
      <w:pPr>
        <w:ind w:firstLineChars="200" w:firstLine="640"/>
        <w:rPr>
          <w:rFonts w:ascii="仿宋_GB2312" w:eastAsia="仿宋_GB2312"/>
          <w:sz w:val="32"/>
          <w:szCs w:val="32"/>
        </w:rPr>
      </w:pPr>
      <w:r>
        <w:rPr>
          <w:rFonts w:ascii="仿宋_GB2312" w:hAnsi="仿宋_GB2312" w:cs="仿宋_GB2312" w:eastAsia="仿宋_GB2312"/>
          <w:sz w:val="32"/>
        </w:rPr>
        <w:t>新疆喀什地区纤维检验所日常公用经费42.89万元，比上年增加0.22万元，增长0.52%，主要原因是人员增加、日常公用经费增加。</w:t>
      </w:r>
    </w:p>
    <w:p w14:paraId="72BCBEBD" w14:textId="77777777" w:rsidR="008853A8" w:rsidRDefault="008853A8">
      <w:pPr>
        <w:ind w:firstLineChars="200" w:firstLine="640"/>
        <w:outlineLvl w:val="2"/>
        <w:rPr>
          <w:rFonts w:ascii="黑体" w:eastAsia="黑体" w:hAnsi="黑体"/>
          <w:sz w:val="32"/>
          <w:szCs w:val="32"/>
        </w:rPr>
      </w:pPr>
      <w:bookmarkStart w:id="28" w:name="_Toc26704"/>
      <w:bookmarkStart w:id="29" w:name="_Toc227"/>
      <w:r>
        <w:rPr>
          <w:rFonts w:ascii="黑体" w:eastAsia="黑体" w:hAnsi="黑体" w:hint="eastAsia"/>
          <w:sz w:val="32"/>
          <w:szCs w:val="32"/>
        </w:rPr>
        <w:t>（二）政府采购情况</w:t>
      </w:r>
      <w:bookmarkEnd w:id="28"/>
      <w:bookmarkEnd w:id="29"/>
    </w:p>
    <w:p w14:paraId="4DEE57E3" w14:textId="498B5E20" w:rsidR="008853A8" w:rsidRDefault="002122DE">
      <w:pPr>
        <w:ind w:firstLineChars="200" w:firstLine="640"/>
        <w:rPr>
          <w:rFonts w:ascii="仿宋_GB2312" w:eastAsia="仿宋_GB2312"/>
          <w:sz w:val="32"/>
          <w:szCs w:val="32"/>
        </w:rPr>
      </w:pPr>
      <w:r>
        <w:rPr>
          <w:rFonts w:ascii="仿宋_GB2312" w:hAnsi="仿宋_GB2312" w:cs="仿宋_GB2312" w:eastAsia="仿宋_GB2312"/>
          <w:sz w:val="32"/>
        </w:rPr>
        <w:t>2019年度政府采购支出总额1,014.13万元，其中：政府采购货物支出977.17万元、政府采购工程支出0万元、政府采购服务支出36.96万元。</w:t>
      </w:r>
    </w:p>
    <w:p w14:paraId="4BAE89CA" w14:textId="67110A7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授予中小企业合同金额1,012.37万元，占政府采购支出总额的99.83%，其中：授予小微企业合同金额910.49万元，占政府采购支出总额的89.78%。</w:t>
      </w:r>
    </w:p>
    <w:p w14:paraId="01E8DA8F" w14:textId="77777777" w:rsidR="008853A8" w:rsidRDefault="008853A8">
      <w:pPr>
        <w:ind w:firstLineChars="200" w:firstLine="640"/>
        <w:outlineLvl w:val="2"/>
        <w:rPr>
          <w:rFonts w:ascii="黑体" w:eastAsia="黑体" w:hAnsi="黑体"/>
          <w:sz w:val="32"/>
          <w:szCs w:val="32"/>
        </w:rPr>
      </w:pPr>
      <w:bookmarkStart w:id="30" w:name="_Toc4591"/>
      <w:bookmarkStart w:id="31" w:name="_Toc8391"/>
      <w:r>
        <w:rPr>
          <w:rFonts w:ascii="黑体" w:eastAsia="黑体" w:hAnsi="黑体" w:hint="eastAsia"/>
          <w:sz w:val="32"/>
          <w:szCs w:val="32"/>
        </w:rPr>
        <w:t>（三）国有资产占用情况说明</w:t>
      </w:r>
      <w:bookmarkEnd w:id="30"/>
      <w:bookmarkEnd w:id="31"/>
    </w:p>
    <w:p w14:paraId="5D15610F" w14:textId="67052147"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截止2019年12月31日，单位共有房屋12,024（平方米），价值5,558.99万元。车辆8辆，价值148.60万元，其中：副部（省）级及以上领导用车0辆、主要领导干部用车0辆、机要通信用车0辆、应急保障用车0辆、执法执勤用车0辆、特种专业技术用车0辆、离退休干部用车0辆、其他用车8辆，其他用车主要是：2辆厢式货车、2辆尼桑多用途货车、1辆帕萨特轿车、1辆东风本田CRV越野车、1辆猎豹越野车、1辆北京现代越野车；单位价值50万元以上通用设备0台（套）、单位价值100万元以上专用设备34台（套）。</w:t>
      </w:r>
    </w:p>
    <w:p w14:paraId="183976BD" w14:textId="77777777" w:rsidR="008853A8" w:rsidRDefault="008853A8">
      <w:pPr>
        <w:ind w:firstLineChars="200" w:firstLine="640"/>
        <w:outlineLvl w:val="1"/>
        <w:rPr>
          <w:rFonts w:ascii="黑体" w:eastAsia="黑体" w:hAnsi="黑体" w:cs="宋体"/>
          <w:bCs/>
          <w:kern w:val="0"/>
          <w:sz w:val="32"/>
          <w:szCs w:val="32"/>
        </w:rPr>
      </w:pPr>
      <w:bookmarkStart w:id="32" w:name="_Toc435"/>
      <w:bookmarkStart w:id="33" w:name="_Toc11283"/>
      <w:r>
        <w:rPr>
          <w:rFonts w:ascii="黑体" w:eastAsia="黑体" w:hAnsi="黑体" w:cs="宋体" w:hint="eastAsia"/>
          <w:bCs/>
          <w:kern w:val="0"/>
          <w:sz w:val="32"/>
          <w:szCs w:val="32"/>
        </w:rPr>
        <w:lastRenderedPageBreak/>
        <w:t>十、预算绩效的情况说明</w:t>
      </w:r>
      <w:bookmarkEnd w:id="32"/>
      <w:bookmarkEnd w:id="33"/>
    </w:p>
    <w:p w14:paraId="6F8CE58F" w14:textId="5A0ABE11" w:rsidR="008853A8" w:rsidRDefault="0095219B">
      <w:pPr>
        <w:ind w:firstLineChars="200" w:firstLine="640"/>
        <w:rPr>
          <w:rFonts w:ascii="仿宋_GB2312" w:eastAsia="仿宋_GB2312"/>
          <w:sz w:val="32"/>
          <w:szCs w:val="32"/>
        </w:rPr>
      </w:pPr>
      <w:r>
        <w:rPr>
          <w:rFonts w:ascii="仿宋_GB2312" w:hAnsi="仿宋_GB2312" w:cs="仿宋_GB2312" w:eastAsia="仿宋_GB2312"/>
          <w:sz w:val="32"/>
        </w:rPr>
        <w:t>根据预算绩效管理要求，我单位2019年度开展预算绩效评价项目2个，共涉及资金1817.46万元万元。预算绩效管理取得的成效：一是部门年度任务在预算资金额度内完成，并通过规范的招投标及严格的资金管理及项目管理及其他创新的管理措施实现了资金的节约。三公经费在预算范围内开支，开支范围较上年无变化；二是各项工作计划按预期计划按时完成，效益按预期时间产生；三是预期的经济效益、社会效益、可持续的影响按预期指标产生，相关人员的满意度达95%。发现的问题及原因：一是通过预算绩效管理，发现了工作中存在的不足，如前期资金使用因项目调研、审批等原因未按期支付，导致了资金滞缓，影响了项目的进度，造成了部分资金的浪费。下一步改进措施：一是强化宣传，提高绩效考核的认同感，加强绩效评价工作制度建设，进一步深化、完善绩效管理体系，建立全过程的预算绩效管理机制，促进绩效管理工作向广度和深度延伸，规范绩效自评管理资料的收集整理。组织开展绩效评价工作培训，多提供可参考资料，确保绩效评价工作提供数据、信息可靠、完整。具体项目自评情况附项目支出绩效自评表。</w:t>
      </w:r>
    </w:p>
    <w:p w14:paraId="0B4F81EF" w14:textId="77777777" w:rsidR="008853A8" w:rsidRDefault="008853A8">
      <w:pPr>
        <w:ind w:firstLineChars="200" w:firstLine="640"/>
        <w:jc w:val="center"/>
        <w:outlineLvl w:val="0"/>
        <w:rPr>
          <w:rFonts w:ascii="黑体" w:eastAsia="黑体" w:hAnsi="黑体"/>
          <w:sz w:val="32"/>
          <w:szCs w:val="32"/>
        </w:rPr>
      </w:pPr>
      <w:bookmarkStart w:id="34" w:name="_Toc24143"/>
      <w:bookmarkStart w:id="35" w:name="_Toc3250"/>
      <w:r>
        <w:rPr>
          <w:rFonts w:ascii="黑体" w:eastAsia="黑体" w:hAnsi="黑体" w:hint="eastAsia"/>
          <w:sz w:val="32"/>
          <w:szCs w:val="32"/>
        </w:rPr>
        <w:t>第三部分 专业名词解释</w:t>
      </w:r>
      <w:bookmarkEnd w:id="34"/>
      <w:bookmarkEnd w:id="35"/>
    </w:p>
    <w:p w14:paraId="04385F5B"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14:paraId="01AEDC0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14:paraId="2C3B0A2D"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14:paraId="700224D5"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14:paraId="1D4BF0F9"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14:paraId="05684206"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14:paraId="0BB9913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14:paraId="690389F8"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年初结转和结余：指以前年度支出预算因客观条件变化未执行完毕、结转到本年度按有关规定继续使用的资金，既</w:t>
      </w:r>
      <w:r>
        <w:rPr>
          <w:rFonts w:ascii="仿宋_GB2312" w:eastAsia="仿宋_GB2312" w:hint="eastAsia"/>
          <w:sz w:val="32"/>
          <w:szCs w:val="32"/>
        </w:rPr>
        <w:lastRenderedPageBreak/>
        <w:t>包括财政拨款结转和结余，也包括事业收入、经营收入、其他收入的结转和结余。</w:t>
      </w:r>
    </w:p>
    <w:p w14:paraId="47D0DD6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14:paraId="32CA0731"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14:paraId="0B82AFA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14:paraId="2F9A67A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14:paraId="51862E8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14:paraId="23B4D7BA"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6BC4C1C0" w14:textId="77777777" w:rsidR="008853A8" w:rsidRDefault="008853A8">
      <w:pPr>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w:t>
      </w:r>
      <w:r>
        <w:rPr>
          <w:rFonts w:ascii="仿宋_GB2312" w:eastAsia="仿宋_GB2312" w:hint="eastAsia"/>
          <w:sz w:val="32"/>
          <w:szCs w:val="32"/>
        </w:rPr>
        <w:lastRenderedPageBreak/>
        <w:t>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7649D204" w14:textId="77777777" w:rsidR="008853A8" w:rsidRDefault="008853A8">
      <w:pPr>
        <w:ind w:firstLineChars="200" w:firstLine="640"/>
        <w:jc w:val="center"/>
        <w:outlineLvl w:val="0"/>
        <w:rPr>
          <w:rFonts w:ascii="黑体" w:eastAsia="黑体" w:hAnsi="黑体"/>
          <w:sz w:val="32"/>
          <w:szCs w:val="32"/>
        </w:rPr>
      </w:pPr>
      <w:bookmarkStart w:id="36" w:name="_Toc28903"/>
      <w:bookmarkStart w:id="37" w:name="_Toc22784"/>
      <w:r>
        <w:rPr>
          <w:rFonts w:ascii="黑体" w:eastAsia="黑体" w:hAnsi="黑体" w:hint="eastAsia"/>
          <w:sz w:val="32"/>
          <w:szCs w:val="32"/>
        </w:rPr>
        <w:t>第四部分 部门决算报表（见附表）</w:t>
      </w:r>
      <w:bookmarkEnd w:id="36"/>
      <w:bookmarkEnd w:id="37"/>
    </w:p>
    <w:p w14:paraId="090AD99E" w14:textId="77777777" w:rsidR="008853A8" w:rsidRDefault="008853A8">
      <w:pPr>
        <w:ind w:firstLineChars="200" w:firstLine="640"/>
        <w:outlineLvl w:val="1"/>
        <w:rPr>
          <w:rFonts w:ascii="黑体" w:eastAsia="黑体" w:hAnsi="黑体" w:cs="宋体"/>
          <w:bCs/>
          <w:kern w:val="0"/>
          <w:sz w:val="32"/>
          <w:szCs w:val="32"/>
        </w:rPr>
      </w:pPr>
      <w:bookmarkStart w:id="38" w:name="_Toc6062"/>
      <w:bookmarkStart w:id="39" w:name="_Toc2183"/>
      <w:r>
        <w:rPr>
          <w:rFonts w:ascii="黑体" w:eastAsia="黑体" w:hAnsi="黑体" w:cs="宋体" w:hint="eastAsia"/>
          <w:bCs/>
          <w:kern w:val="0"/>
          <w:sz w:val="32"/>
          <w:szCs w:val="32"/>
        </w:rPr>
        <w:t>一、《收入支出决算总表》</w:t>
      </w:r>
      <w:bookmarkEnd w:id="38"/>
      <w:bookmarkEnd w:id="39"/>
    </w:p>
    <w:p w14:paraId="004B471D" w14:textId="77777777" w:rsidR="008853A8" w:rsidRDefault="008853A8">
      <w:pPr>
        <w:ind w:firstLineChars="200" w:firstLine="640"/>
        <w:outlineLvl w:val="1"/>
        <w:rPr>
          <w:rFonts w:ascii="黑体" w:eastAsia="黑体" w:hAnsi="黑体" w:cs="宋体"/>
          <w:bCs/>
          <w:kern w:val="0"/>
          <w:sz w:val="32"/>
          <w:szCs w:val="32"/>
        </w:rPr>
      </w:pPr>
      <w:bookmarkStart w:id="40" w:name="_Toc30364"/>
      <w:bookmarkStart w:id="41" w:name="_Toc24532"/>
      <w:r>
        <w:rPr>
          <w:rFonts w:ascii="黑体" w:eastAsia="黑体" w:hAnsi="黑体" w:cs="宋体" w:hint="eastAsia"/>
          <w:bCs/>
          <w:kern w:val="0"/>
          <w:sz w:val="32"/>
          <w:szCs w:val="32"/>
        </w:rPr>
        <w:t>二、《收入决算表》</w:t>
      </w:r>
      <w:bookmarkEnd w:id="40"/>
      <w:bookmarkEnd w:id="41"/>
    </w:p>
    <w:p w14:paraId="62F3C64D" w14:textId="77777777" w:rsidR="008853A8" w:rsidRDefault="008853A8">
      <w:pPr>
        <w:ind w:firstLineChars="200" w:firstLine="640"/>
        <w:outlineLvl w:val="1"/>
        <w:rPr>
          <w:rFonts w:ascii="黑体" w:eastAsia="黑体" w:hAnsi="黑体" w:cs="宋体"/>
          <w:bCs/>
          <w:kern w:val="0"/>
          <w:sz w:val="32"/>
          <w:szCs w:val="32"/>
        </w:rPr>
      </w:pPr>
      <w:bookmarkStart w:id="42" w:name="_Toc21304"/>
      <w:bookmarkStart w:id="43" w:name="_Toc32434"/>
      <w:r>
        <w:rPr>
          <w:rFonts w:ascii="黑体" w:eastAsia="黑体" w:hAnsi="黑体" w:cs="宋体" w:hint="eastAsia"/>
          <w:bCs/>
          <w:kern w:val="0"/>
          <w:sz w:val="32"/>
          <w:szCs w:val="32"/>
        </w:rPr>
        <w:t>三、《支出决算表》</w:t>
      </w:r>
      <w:bookmarkEnd w:id="42"/>
      <w:bookmarkEnd w:id="43"/>
    </w:p>
    <w:p w14:paraId="3D0B5C9A" w14:textId="77777777" w:rsidR="008853A8" w:rsidRDefault="008853A8">
      <w:pPr>
        <w:ind w:firstLineChars="200" w:firstLine="640"/>
        <w:outlineLvl w:val="1"/>
        <w:rPr>
          <w:rFonts w:ascii="黑体" w:eastAsia="黑体" w:hAnsi="黑体" w:cs="宋体"/>
          <w:bCs/>
          <w:kern w:val="0"/>
          <w:sz w:val="32"/>
          <w:szCs w:val="32"/>
        </w:rPr>
      </w:pPr>
      <w:bookmarkStart w:id="44" w:name="_Toc14238"/>
      <w:bookmarkStart w:id="45" w:name="_Toc28786"/>
      <w:r>
        <w:rPr>
          <w:rFonts w:ascii="黑体" w:eastAsia="黑体" w:hAnsi="黑体" w:cs="宋体" w:hint="eastAsia"/>
          <w:bCs/>
          <w:kern w:val="0"/>
          <w:sz w:val="32"/>
          <w:szCs w:val="32"/>
        </w:rPr>
        <w:t>四、《财政拨款收入支出决算总表》</w:t>
      </w:r>
      <w:bookmarkEnd w:id="44"/>
      <w:bookmarkEnd w:id="45"/>
    </w:p>
    <w:p w14:paraId="77EC65FF" w14:textId="77777777" w:rsidR="008853A8" w:rsidRDefault="008853A8">
      <w:pPr>
        <w:ind w:firstLineChars="200" w:firstLine="640"/>
        <w:outlineLvl w:val="1"/>
        <w:rPr>
          <w:rFonts w:ascii="黑体" w:eastAsia="黑体" w:hAnsi="黑体" w:cs="宋体"/>
          <w:bCs/>
          <w:kern w:val="0"/>
          <w:sz w:val="32"/>
          <w:szCs w:val="32"/>
        </w:rPr>
      </w:pPr>
      <w:bookmarkStart w:id="46" w:name="_Toc10347"/>
      <w:bookmarkStart w:id="47" w:name="_Toc14869"/>
      <w:r>
        <w:rPr>
          <w:rFonts w:ascii="黑体" w:eastAsia="黑体" w:hAnsi="黑体" w:cs="宋体" w:hint="eastAsia"/>
          <w:bCs/>
          <w:kern w:val="0"/>
          <w:sz w:val="32"/>
          <w:szCs w:val="32"/>
        </w:rPr>
        <w:t>五、《一般公共预算财政拨款支出决算表》</w:t>
      </w:r>
      <w:bookmarkEnd w:id="46"/>
      <w:bookmarkEnd w:id="47"/>
    </w:p>
    <w:p w14:paraId="4311D09D" w14:textId="77777777" w:rsidR="008853A8" w:rsidRDefault="008853A8">
      <w:pPr>
        <w:ind w:firstLineChars="200" w:firstLine="640"/>
        <w:outlineLvl w:val="1"/>
        <w:rPr>
          <w:rFonts w:ascii="黑体" w:eastAsia="黑体" w:hAnsi="黑体" w:cs="宋体"/>
          <w:bCs/>
          <w:kern w:val="0"/>
          <w:sz w:val="32"/>
          <w:szCs w:val="32"/>
        </w:rPr>
      </w:pPr>
      <w:bookmarkStart w:id="48" w:name="_Toc5626"/>
      <w:bookmarkStart w:id="49" w:name="_Toc8884"/>
      <w:r>
        <w:rPr>
          <w:rFonts w:ascii="黑体" w:eastAsia="黑体" w:hAnsi="黑体" w:cs="宋体" w:hint="eastAsia"/>
          <w:bCs/>
          <w:kern w:val="0"/>
          <w:sz w:val="32"/>
          <w:szCs w:val="32"/>
        </w:rPr>
        <w:t>六、《一般公共预算财政拨款基本支出决算表》</w:t>
      </w:r>
      <w:bookmarkEnd w:id="48"/>
      <w:bookmarkEnd w:id="49"/>
    </w:p>
    <w:p w14:paraId="1D7CDCF2" w14:textId="77777777" w:rsidR="008853A8" w:rsidRDefault="008853A8">
      <w:pPr>
        <w:ind w:firstLineChars="200" w:firstLine="640"/>
        <w:outlineLvl w:val="1"/>
        <w:rPr>
          <w:rFonts w:ascii="黑体" w:eastAsia="黑体" w:hAnsi="黑体" w:cs="宋体"/>
          <w:bCs/>
          <w:kern w:val="0"/>
          <w:sz w:val="32"/>
          <w:szCs w:val="32"/>
        </w:rPr>
      </w:pPr>
      <w:bookmarkStart w:id="50" w:name="_Toc32663"/>
      <w:bookmarkStart w:id="51" w:name="_Toc29106"/>
      <w:r>
        <w:rPr>
          <w:rFonts w:ascii="黑体" w:eastAsia="黑体" w:hAnsi="黑体" w:cs="宋体" w:hint="eastAsia"/>
          <w:bCs/>
          <w:kern w:val="0"/>
          <w:sz w:val="32"/>
          <w:szCs w:val="32"/>
        </w:rPr>
        <w:t>七、《一般公共预算财政拨款“三公”经费支出决算表》</w:t>
      </w:r>
      <w:bookmarkEnd w:id="50"/>
      <w:bookmarkEnd w:id="51"/>
    </w:p>
    <w:p w14:paraId="5A34F572" w14:textId="77777777" w:rsidR="008853A8" w:rsidRDefault="008853A8">
      <w:pPr>
        <w:ind w:firstLineChars="200" w:firstLine="640"/>
        <w:outlineLvl w:val="1"/>
        <w:rPr>
          <w:rFonts w:ascii="黑体" w:eastAsia="黑体" w:hAnsi="黑体" w:cs="宋体"/>
          <w:bCs/>
          <w:kern w:val="0"/>
          <w:sz w:val="32"/>
          <w:szCs w:val="32"/>
        </w:rPr>
      </w:pPr>
      <w:bookmarkStart w:id="52" w:name="_Toc5453"/>
      <w:bookmarkStart w:id="53" w:name="_Toc7643"/>
      <w:r>
        <w:rPr>
          <w:rFonts w:ascii="黑体" w:eastAsia="黑体" w:hAnsi="黑体" w:cs="宋体" w:hint="eastAsia"/>
          <w:bCs/>
          <w:kern w:val="0"/>
          <w:sz w:val="32"/>
          <w:szCs w:val="32"/>
        </w:rPr>
        <w:t>八、《政府性基金预算财政拨款收入支出决算表》</w:t>
      </w:r>
      <w:bookmarkEnd w:id="52"/>
      <w:bookmarkEnd w:id="53"/>
    </w:p>
    <w:sectPr w:rsidR="008853A8">
      <w:footerReference w:type="default" r:id="rId6"/>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8AF78A" w14:textId="77777777" w:rsidR="00EA656B" w:rsidRDefault="00EA656B">
      <w:r>
        <w:separator/>
      </w:r>
    </w:p>
  </w:endnote>
  <w:endnote w:type="continuationSeparator" w:id="0">
    <w:p w14:paraId="3234A3E4" w14:textId="77777777" w:rsidR="00EA656B" w:rsidRDefault="00EA65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微软雅黑"/>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2C3B13" w14:textId="7F39015E" w:rsidR="008853A8" w:rsidRDefault="004F1D2D">
    <w:pPr>
      <w:pStyle w:val="a4"/>
    </w:pPr>
    <w:r>
      <w:rPr>
        <w:noProof/>
      </w:rPr>
      <mc:AlternateContent>
        <mc:Choice Requires="wps">
          <w:drawing>
            <wp:anchor distT="0" distB="0" distL="114300" distR="114300" simplePos="0" relativeHeight="251657728" behindDoc="0" locked="0" layoutInCell="1" allowOverlap="1" wp14:anchorId="5D818AEF" wp14:editId="432F0E00">
              <wp:simplePos x="0" y="0"/>
              <wp:positionH relativeFrom="margin">
                <wp:align>center</wp:align>
              </wp:positionH>
              <wp:positionV relativeFrom="paragraph">
                <wp:posOffset>0</wp:posOffset>
              </wp:positionV>
              <wp:extent cx="1828800" cy="182880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D818AEF" id="_x0000_t202" coordsize="21600,21600" o:spt="202" path="m,l,21600r21600,l21600,xe">
              <v:stroke joinstyle="miter"/>
              <v:path gradientshapeok="t" o:connecttype="rect"/>
            </v:shapetype>
            <v:shape id="文本框 1" o:spid="_x0000_s1026" type="#_x0000_t202" style="position:absolute;margin-left:0;margin-top:0;width:2in;height:2in;z-index:25165772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AencV47QEAALYDAAAOAAAAZHJzL2Uyb0RvYy54bWysU82O0zAQviPxDpbvNGkPqIqarpZdFSEt P9LCAziOk1jEHmvsNikPAG/AiQt3nqvPwdhpyrJ7Q1yssT3+5ptvPm+uRtOzg0KvwZZ8ucg5U1ZC rW1b8k8fdy/WnPkgbC16sKrkR+X51fb5s83gCrWCDvpaISMQ64vBlbwLwRVZ5mWnjPALcMrSZQNo RKAttlmNYiB002erPH+ZDYC1Q5DKezq9nS75NuE3jZLhfdN4FVhfcuIW0oppreKabTeiaFG4Tssz DfEPLIzQlopeoG5FEGyP+gmU0RLBQxMWEkwGTaOlSj1QN8v8UTf3nXAq9ULieHeRyf8/WPnu8AGZ rml2nFlhaESn799OP36dfn5lyyjP4HxBWfeO8sL4CsaYGlv17g7kZ88s3HTCtuoaEYZOiZropZfZ g6cTjo8g1fAWaqoj9gES0NigiYCkBiN0GtPxMho1BiZjyfVqvc7pStLdvCF2mSjm5w59eK3AsBiU HGn2CV4c7nyYUueUWM3CTvd9mn9v/zogzHiS6EfGE/cwVuNZjgrqIzWCMNmJ7E9BB/iFs4GsVHJL Xuesf2NJiui6OcA5qOZAWEkPSx44m8KbMLlz71C3HeHOYl+TXDudGom6ThzOLMkcSYqzkaP7Hu5T 1p/vtv0NAAD//wMAUEsDBBQABgAIAAAAIQAMSvDu1gAAAAUBAAAPAAAAZHJzL2Rvd25yZXYueG1s TI9Ba8MwDIXvg/4Ho8Juq9MetpDFKaXQS2/rxmA3N1bjMFsOtpsm/37aGGwXoccTT9+rt5N3YsSY +kAK1qsCBFIbTE+dgrfXw0MJImVNRrtAqGDGBNtmcVfryoQbveB4yp3gEEqVVmBzHiopU2vR67QK AxJ7lxC9zixjJ03UNw73Tm6K4lF63RN/sHrAvcX283T1Cp6m94BDwj1+XMY22n4u3XFW6n457Z5B ZJzy3zF84zM6NMx0DlcySTgFXCT/TPY2Zcny/LvIppb/6ZsvAAAA//8DAFBLAQItABQABgAIAAAA IQC2gziS/gAAAOEBAAATAAAAAAAAAAAAAAAAAAAAAABbQ29udGVudF9UeXBlc10ueG1sUEsBAi0A FAAGAAgAAAAhADj9If/WAAAAlAEAAAsAAAAAAAAAAAAAAAAALwEAAF9yZWxzLy5yZWxzUEsBAi0A FAAGAAgAAAAhAB6dxXjtAQAAtgMAAA4AAAAAAAAAAAAAAAAALgIAAGRycy9lMm9Eb2MueG1sUEsB Ai0AFAAGAAgAAAAhAAxK8O7WAAAABQEAAA8AAAAAAAAAAAAAAAAARwQAAGRycy9kb3ducmV2Lnht bFBLBQYAAAAABAAEAPMAAABKBQAAAAA= " filled="f" stroked="f">
              <v:textbox style="mso-fit-shape-to-text:t" inset="0,0,0,0">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26A77A" w14:textId="77777777" w:rsidR="00EA656B" w:rsidRDefault="00EA656B">
      <w:r>
        <w:separator/>
      </w:r>
    </w:p>
  </w:footnote>
  <w:footnote w:type="continuationSeparator" w:id="0">
    <w:p w14:paraId="16C2A13B" w14:textId="77777777" w:rsidR="00EA656B" w:rsidRDefault="00EA656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ocumentProtection w:enforcement="1" w:edit="comments" w:salt="nL6cINGtCOSTG2sDkXW6vA==" w:hash="cB5HODwC0X0CpWi4FjSdj5/LFMs=" w:cryptSpinCount="100000" w:cryptAlgorithmType="typeAny" w:cryptAlgorithmClass="hash" w:cryptProviderType="rsaFull" w:cryptAlgorithmSid="4"/>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E66"/>
    <w:rsid w:val="000033EF"/>
    <w:rsid w:val="00004533"/>
    <w:rsid w:val="00005A21"/>
    <w:rsid w:val="0004063C"/>
    <w:rsid w:val="000701A7"/>
    <w:rsid w:val="00082456"/>
    <w:rsid w:val="000A663A"/>
    <w:rsid w:val="000B5514"/>
    <w:rsid w:val="000B57B8"/>
    <w:rsid w:val="000B69AB"/>
    <w:rsid w:val="000F01B7"/>
    <w:rsid w:val="000F6705"/>
    <w:rsid w:val="001111D4"/>
    <w:rsid w:val="001128A8"/>
    <w:rsid w:val="001130AE"/>
    <w:rsid w:val="001237CF"/>
    <w:rsid w:val="00125A6F"/>
    <w:rsid w:val="0014029C"/>
    <w:rsid w:val="00144642"/>
    <w:rsid w:val="00146FA3"/>
    <w:rsid w:val="001573AA"/>
    <w:rsid w:val="00162E66"/>
    <w:rsid w:val="001826D1"/>
    <w:rsid w:val="001848EE"/>
    <w:rsid w:val="00186B3B"/>
    <w:rsid w:val="001C2D35"/>
    <w:rsid w:val="001C5BE8"/>
    <w:rsid w:val="001C6E66"/>
    <w:rsid w:val="001D3634"/>
    <w:rsid w:val="001D37EF"/>
    <w:rsid w:val="001E4D79"/>
    <w:rsid w:val="001F29A9"/>
    <w:rsid w:val="001F777A"/>
    <w:rsid w:val="002122DE"/>
    <w:rsid w:val="00227229"/>
    <w:rsid w:val="002328AF"/>
    <w:rsid w:val="00233021"/>
    <w:rsid w:val="0024217C"/>
    <w:rsid w:val="00243E6C"/>
    <w:rsid w:val="00246EBC"/>
    <w:rsid w:val="00265F92"/>
    <w:rsid w:val="00272845"/>
    <w:rsid w:val="00282550"/>
    <w:rsid w:val="00287829"/>
    <w:rsid w:val="0029171A"/>
    <w:rsid w:val="00292B7F"/>
    <w:rsid w:val="00292C0A"/>
    <w:rsid w:val="002B072F"/>
    <w:rsid w:val="002B37DA"/>
    <w:rsid w:val="002B7A04"/>
    <w:rsid w:val="002D187F"/>
    <w:rsid w:val="002F1732"/>
    <w:rsid w:val="003106FF"/>
    <w:rsid w:val="00327986"/>
    <w:rsid w:val="003314E6"/>
    <w:rsid w:val="00340AE7"/>
    <w:rsid w:val="00354737"/>
    <w:rsid w:val="0037159F"/>
    <w:rsid w:val="00377EC6"/>
    <w:rsid w:val="003920B8"/>
    <w:rsid w:val="003A44F0"/>
    <w:rsid w:val="003C3EF4"/>
    <w:rsid w:val="003D1DD1"/>
    <w:rsid w:val="003E5F70"/>
    <w:rsid w:val="003F60E1"/>
    <w:rsid w:val="00400D8F"/>
    <w:rsid w:val="004161A5"/>
    <w:rsid w:val="00430E56"/>
    <w:rsid w:val="004318F5"/>
    <w:rsid w:val="00456820"/>
    <w:rsid w:val="00471387"/>
    <w:rsid w:val="00471BBD"/>
    <w:rsid w:val="0047268F"/>
    <w:rsid w:val="004A41CF"/>
    <w:rsid w:val="004A44C9"/>
    <w:rsid w:val="004B2E7F"/>
    <w:rsid w:val="004B3B3F"/>
    <w:rsid w:val="004D35C0"/>
    <w:rsid w:val="004E519F"/>
    <w:rsid w:val="004F1D2D"/>
    <w:rsid w:val="004F506B"/>
    <w:rsid w:val="00531503"/>
    <w:rsid w:val="00534ECA"/>
    <w:rsid w:val="005358C2"/>
    <w:rsid w:val="005474EB"/>
    <w:rsid w:val="005506DD"/>
    <w:rsid w:val="005529D0"/>
    <w:rsid w:val="00553FB5"/>
    <w:rsid w:val="00554A58"/>
    <w:rsid w:val="00560394"/>
    <w:rsid w:val="0056525F"/>
    <w:rsid w:val="005B1DE6"/>
    <w:rsid w:val="005C11EB"/>
    <w:rsid w:val="006032AE"/>
    <w:rsid w:val="00684E46"/>
    <w:rsid w:val="0068591E"/>
    <w:rsid w:val="00690F22"/>
    <w:rsid w:val="00693012"/>
    <w:rsid w:val="006B0B73"/>
    <w:rsid w:val="006D2B94"/>
    <w:rsid w:val="006D3853"/>
    <w:rsid w:val="006E0721"/>
    <w:rsid w:val="0070295D"/>
    <w:rsid w:val="00725755"/>
    <w:rsid w:val="0075023C"/>
    <w:rsid w:val="00750D8A"/>
    <w:rsid w:val="00764051"/>
    <w:rsid w:val="00772611"/>
    <w:rsid w:val="007741F8"/>
    <w:rsid w:val="007B0022"/>
    <w:rsid w:val="007E2E4F"/>
    <w:rsid w:val="007E3BFD"/>
    <w:rsid w:val="00807B4B"/>
    <w:rsid w:val="008144CF"/>
    <w:rsid w:val="00822EED"/>
    <w:rsid w:val="00827663"/>
    <w:rsid w:val="00847CE1"/>
    <w:rsid w:val="00852D88"/>
    <w:rsid w:val="00857132"/>
    <w:rsid w:val="00862395"/>
    <w:rsid w:val="008853A8"/>
    <w:rsid w:val="00887778"/>
    <w:rsid w:val="008A54C1"/>
    <w:rsid w:val="008D5B57"/>
    <w:rsid w:val="008F7D99"/>
    <w:rsid w:val="0090080D"/>
    <w:rsid w:val="00922FA7"/>
    <w:rsid w:val="00927301"/>
    <w:rsid w:val="009351E1"/>
    <w:rsid w:val="0094423A"/>
    <w:rsid w:val="0095219B"/>
    <w:rsid w:val="00963E2E"/>
    <w:rsid w:val="009774AD"/>
    <w:rsid w:val="00980F6F"/>
    <w:rsid w:val="00993788"/>
    <w:rsid w:val="009A173F"/>
    <w:rsid w:val="009C479E"/>
    <w:rsid w:val="009F4245"/>
    <w:rsid w:val="009F594D"/>
    <w:rsid w:val="00A009B3"/>
    <w:rsid w:val="00A239E7"/>
    <w:rsid w:val="00A34EDA"/>
    <w:rsid w:val="00A77ECE"/>
    <w:rsid w:val="00AA13D0"/>
    <w:rsid w:val="00AC0B18"/>
    <w:rsid w:val="00AC1D87"/>
    <w:rsid w:val="00AC2605"/>
    <w:rsid w:val="00AE136F"/>
    <w:rsid w:val="00AE6C82"/>
    <w:rsid w:val="00AE7A56"/>
    <w:rsid w:val="00AF0871"/>
    <w:rsid w:val="00AF530E"/>
    <w:rsid w:val="00AF5DFE"/>
    <w:rsid w:val="00B006E5"/>
    <w:rsid w:val="00B24234"/>
    <w:rsid w:val="00B3219F"/>
    <w:rsid w:val="00B42062"/>
    <w:rsid w:val="00B64D13"/>
    <w:rsid w:val="00B76725"/>
    <w:rsid w:val="00BC38D2"/>
    <w:rsid w:val="00BC65E4"/>
    <w:rsid w:val="00BE0A9F"/>
    <w:rsid w:val="00BF4880"/>
    <w:rsid w:val="00C01003"/>
    <w:rsid w:val="00C2317E"/>
    <w:rsid w:val="00C87860"/>
    <w:rsid w:val="00C92609"/>
    <w:rsid w:val="00C974A0"/>
    <w:rsid w:val="00CA0969"/>
    <w:rsid w:val="00CB7A14"/>
    <w:rsid w:val="00CC66CE"/>
    <w:rsid w:val="00CD1E0A"/>
    <w:rsid w:val="00CE40E2"/>
    <w:rsid w:val="00CE4AEB"/>
    <w:rsid w:val="00CE74CB"/>
    <w:rsid w:val="00D00B68"/>
    <w:rsid w:val="00D04E19"/>
    <w:rsid w:val="00D6644C"/>
    <w:rsid w:val="00D71F68"/>
    <w:rsid w:val="00D767F4"/>
    <w:rsid w:val="00DA07A0"/>
    <w:rsid w:val="00DB4A9A"/>
    <w:rsid w:val="00DB6F81"/>
    <w:rsid w:val="00DD3B82"/>
    <w:rsid w:val="00E02851"/>
    <w:rsid w:val="00E43F43"/>
    <w:rsid w:val="00E76594"/>
    <w:rsid w:val="00EA656B"/>
    <w:rsid w:val="00EB1FF2"/>
    <w:rsid w:val="00EB42AF"/>
    <w:rsid w:val="00EB49C8"/>
    <w:rsid w:val="00EE3598"/>
    <w:rsid w:val="00EE791B"/>
    <w:rsid w:val="00EF3292"/>
    <w:rsid w:val="00F040C7"/>
    <w:rsid w:val="00F04DC0"/>
    <w:rsid w:val="00F24BA1"/>
    <w:rsid w:val="00F45607"/>
    <w:rsid w:val="00F552F7"/>
    <w:rsid w:val="00F57EE2"/>
    <w:rsid w:val="00F67C07"/>
    <w:rsid w:val="00F777E1"/>
    <w:rsid w:val="00F80266"/>
    <w:rsid w:val="00F83E19"/>
    <w:rsid w:val="00FB3828"/>
    <w:rsid w:val="00FC7A52"/>
    <w:rsid w:val="00FE0761"/>
    <w:rsid w:val="00FF5166"/>
    <w:rsid w:val="06792773"/>
    <w:rsid w:val="1DAF458D"/>
    <w:rsid w:val="2A053397"/>
    <w:rsid w:val="2D1136DF"/>
    <w:rsid w:val="31C63837"/>
    <w:rsid w:val="3D5275AC"/>
    <w:rsid w:val="46901EEE"/>
    <w:rsid w:val="469C74D2"/>
    <w:rsid w:val="50DB5F45"/>
    <w:rsid w:val="69AD798C"/>
    <w:rsid w:val="6B68175F"/>
    <w:rsid w:val="73FB6630"/>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A131AF"/>
  <w15:chartTrackingRefBased/>
  <w15:docId w15:val="{7A89F94D-944E-49B7-A5B0-21D8D0FEA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2">
    <w:name w:val="toc 2"/>
    <w:basedOn w:val="a"/>
    <w:next w:val="a"/>
    <w:pPr>
      <w:ind w:leftChars="200" w:left="420"/>
    </w:pPr>
  </w:style>
  <w:style w:type="paragraph" w:styleId="TOC1">
    <w:name w:val="toc 1"/>
    <w:basedOn w:val="a"/>
    <w:next w:val="a"/>
  </w:style>
  <w:style w:type="paragraph" w:styleId="a3">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3">
    <w:name w:val="toc 3"/>
    <w:basedOn w:val="a"/>
    <w:next w:val="a"/>
    <w:pPr>
      <w:ind w:leftChars="400" w:left="840"/>
    </w:pPr>
  </w:style>
  <w:style w:type="paragraph" w:styleId="a4">
    <w:name w:val="footer"/>
    <w:basedOn w:val="a"/>
    <w:pPr>
      <w:tabs>
        <w:tab w:val="center" w:pos="4153"/>
        <w:tab w:val="right" w:pos="8306"/>
      </w:tabs>
      <w:snapToGrid w:val="0"/>
      <w:jc w:val="left"/>
    </w:pPr>
    <w:rPr>
      <w:sz w:val="18"/>
    </w:rPr>
  </w:style>
  <w:style w:type="paragraph" w:styleId="a5">
    <w:name w:val="annotation text"/>
    <w:basedOn w:val="a"/>
    <w:pPr>
      <w:jc w:val="left"/>
    </w:pPr>
  </w:style>
  <w:style w:type="paragraph" w:customStyle="1" w:styleId="WPSOffice3">
    <w:name w:val="WPSOffice手动目录 3"/>
    <w:pPr>
      <w:ind w:leftChars="400" w:left="400"/>
    </w:pPr>
  </w:style>
  <w:style w:type="paragraph" w:customStyle="1" w:styleId="WPSOffice2">
    <w:name w:val="WPSOffice手动目录 2"/>
    <w:pPr>
      <w:ind w:leftChars="200" w:left="200"/>
    </w:pPr>
  </w:style>
  <w:style w:type="paragraph" w:customStyle="1" w:styleId="WPSOffice1">
    <w:name w:val="WPSOffice手动目录 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7381100">
      <w:bodyDiv w:val="1"/>
      <w:marLeft w:val="0"/>
      <w:marRight w:val="0"/>
      <w:marTop w:val="0"/>
      <w:marBottom w:val="0"/>
      <w:divBdr>
        <w:top w:val="none" w:sz="0" w:space="0" w:color="auto"/>
        <w:left w:val="none" w:sz="0" w:space="0" w:color="auto"/>
        <w:bottom w:val="none" w:sz="0" w:space="0" w:color="auto"/>
        <w:right w:val="none" w:sz="0" w:space="0" w:color="auto"/>
      </w:divBdr>
    </w:div>
    <w:div w:id="726150857">
      <w:bodyDiv w:val="1"/>
      <w:marLeft w:val="0"/>
      <w:marRight w:val="0"/>
      <w:marTop w:val="0"/>
      <w:marBottom w:val="0"/>
      <w:divBdr>
        <w:top w:val="none" w:sz="0" w:space="0" w:color="auto"/>
        <w:left w:val="none" w:sz="0" w:space="0" w:color="auto"/>
        <w:bottom w:val="none" w:sz="0" w:space="0" w:color="auto"/>
        <w:right w:val="none" w:sz="0" w:space="0" w:color="auto"/>
      </w:divBdr>
    </w:div>
    <w:div w:id="1085761621">
      <w:bodyDiv w:val="1"/>
      <w:marLeft w:val="0"/>
      <w:marRight w:val="0"/>
      <w:marTop w:val="0"/>
      <w:marBottom w:val="0"/>
      <w:divBdr>
        <w:top w:val="none" w:sz="0" w:space="0" w:color="auto"/>
        <w:left w:val="none" w:sz="0" w:space="0" w:color="auto"/>
        <w:bottom w:val="none" w:sz="0" w:space="0" w:color="auto"/>
        <w:right w:val="none" w:sz="0" w:space="0" w:color="auto"/>
      </w:divBdr>
    </w:div>
    <w:div w:id="1572694809">
      <w:bodyDiv w:val="1"/>
      <w:marLeft w:val="0"/>
      <w:marRight w:val="0"/>
      <w:marTop w:val="0"/>
      <w:marBottom w:val="0"/>
      <w:divBdr>
        <w:top w:val="none" w:sz="0" w:space="0" w:color="auto"/>
        <w:left w:val="none" w:sz="0" w:space="0" w:color="auto"/>
        <w:bottom w:val="none" w:sz="0" w:space="0" w:color="auto"/>
        <w:right w:val="none" w:sz="0" w:space="0" w:color="auto"/>
      </w:divBdr>
    </w:div>
    <w:div w:id="1814247851">
      <w:bodyDiv w:val="1"/>
      <w:marLeft w:val="0"/>
      <w:marRight w:val="0"/>
      <w:marTop w:val="0"/>
      <w:marBottom w:val="0"/>
      <w:divBdr>
        <w:top w:val="none" w:sz="0" w:space="0" w:color="auto"/>
        <w:left w:val="none" w:sz="0" w:space="0" w:color="auto"/>
        <w:bottom w:val="none" w:sz="0" w:space="0" w:color="auto"/>
        <w:right w:val="none" w:sz="0" w:space="0" w:color="auto"/>
      </w:divBdr>
    </w:div>
    <w:div w:id="1847329340">
      <w:bodyDiv w:val="1"/>
      <w:marLeft w:val="0"/>
      <w:marRight w:val="0"/>
      <w:marTop w:val="0"/>
      <w:marBottom w:val="0"/>
      <w:divBdr>
        <w:top w:val="none" w:sz="0" w:space="0" w:color="auto"/>
        <w:left w:val="none" w:sz="0" w:space="0" w:color="auto"/>
        <w:bottom w:val="none" w:sz="0" w:space="0" w:color="auto"/>
        <w:right w:val="none" w:sz="0" w:space="0" w:color="auto"/>
      </w:divBdr>
    </w:div>
    <w:div w:id="1919709360">
      <w:bodyDiv w:val="1"/>
      <w:marLeft w:val="0"/>
      <w:marRight w:val="0"/>
      <w:marTop w:val="0"/>
      <w:marBottom w:val="0"/>
      <w:divBdr>
        <w:top w:val="none" w:sz="0" w:space="0" w:color="auto"/>
        <w:left w:val="none" w:sz="0" w:space="0" w:color="auto"/>
        <w:bottom w:val="none" w:sz="0" w:space="0" w:color="auto"/>
        <w:right w:val="none" w:sz="0" w:space="0" w:color="auto"/>
      </w:divBdr>
    </w:div>
    <w:div w:id="2019891532">
      <w:bodyDiv w:val="1"/>
      <w:marLeft w:val="0"/>
      <w:marRight w:val="0"/>
      <w:marTop w:val="0"/>
      <w:marBottom w:val="0"/>
      <w:divBdr>
        <w:top w:val="none" w:sz="0" w:space="0" w:color="auto"/>
        <w:left w:val="none" w:sz="0" w:space="0" w:color="auto"/>
        <w:bottom w:val="none" w:sz="0" w:space="0" w:color="auto"/>
        <w:right w:val="none" w:sz="0" w:space="0" w:color="auto"/>
      </w:divBdr>
    </w:div>
    <w:div w:id="2102601509">
      <w:bodyDiv w:val="1"/>
      <w:marLeft w:val="0"/>
      <w:marRight w:val="0"/>
      <w:marTop w:val="0"/>
      <w:marBottom w:val="0"/>
      <w:divBdr>
        <w:top w:val="none" w:sz="0" w:space="0" w:color="auto"/>
        <w:left w:val="none" w:sz="0" w:space="0" w:color="auto"/>
        <w:bottom w:val="none" w:sz="0" w:space="0" w:color="auto"/>
        <w:right w:val="none" w:sz="0" w:space="0" w:color="auto"/>
      </w:divBdr>
    </w:div>
    <w:div w:id="2108193054">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oter1.xml" Type="http://schemas.openxmlformats.org/officeDocument/2006/relationships/footer"/><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13</Pages>
  <Words>1031</Words>
  <Characters>5882</Characters>
  <Application>Microsoft Office Word</Application>
  <DocSecurity>0</DocSecurity>
  <Lines>49</Lines>
  <Paragraphs>13</Paragraphs>
  <ScaleCrop>false</ScaleCrop>
  <Company/>
  <LinksUpToDate>false</LinksUpToDate>
  <CharactersWithSpaces>6900</CharactersWithSpaces>
  <SharedDoc>false</SharedDoc>
  <HLinks>
    <vt:vector size="162" baseType="variant">
      <vt:variant>
        <vt:i4>1179699</vt:i4>
      </vt:variant>
      <vt:variant>
        <vt:i4>80</vt:i4>
      </vt:variant>
      <vt:variant>
        <vt:i4>0</vt:i4>
      </vt:variant>
      <vt:variant>
        <vt:i4>5</vt:i4>
      </vt:variant>
      <vt:variant>
        <vt:lpwstr/>
      </vt:variant>
      <vt:variant>
        <vt:lpwstr>_Toc7643</vt:lpwstr>
      </vt:variant>
      <vt:variant>
        <vt:i4>1966131</vt:i4>
      </vt:variant>
      <vt:variant>
        <vt:i4>77</vt:i4>
      </vt:variant>
      <vt:variant>
        <vt:i4>0</vt:i4>
      </vt:variant>
      <vt:variant>
        <vt:i4>5</vt:i4>
      </vt:variant>
      <vt:variant>
        <vt:lpwstr/>
      </vt:variant>
      <vt:variant>
        <vt:lpwstr>_Toc29106</vt:lpwstr>
      </vt:variant>
      <vt:variant>
        <vt:i4>1769520</vt:i4>
      </vt:variant>
      <vt:variant>
        <vt:i4>74</vt:i4>
      </vt:variant>
      <vt:variant>
        <vt:i4>0</vt:i4>
      </vt:variant>
      <vt:variant>
        <vt:i4>5</vt:i4>
      </vt:variant>
      <vt:variant>
        <vt:lpwstr/>
      </vt:variant>
      <vt:variant>
        <vt:lpwstr>_Toc8884</vt:lpwstr>
      </vt:variant>
      <vt:variant>
        <vt:i4>1376313</vt:i4>
      </vt:variant>
      <vt:variant>
        <vt:i4>71</vt:i4>
      </vt:variant>
      <vt:variant>
        <vt:i4>0</vt:i4>
      </vt:variant>
      <vt:variant>
        <vt:i4>5</vt:i4>
      </vt:variant>
      <vt:variant>
        <vt:lpwstr/>
      </vt:variant>
      <vt:variant>
        <vt:lpwstr>_Toc14869</vt:lpwstr>
      </vt:variant>
      <vt:variant>
        <vt:i4>1507381</vt:i4>
      </vt:variant>
      <vt:variant>
        <vt:i4>68</vt:i4>
      </vt:variant>
      <vt:variant>
        <vt:i4>0</vt:i4>
      </vt:variant>
      <vt:variant>
        <vt:i4>5</vt:i4>
      </vt:variant>
      <vt:variant>
        <vt:lpwstr/>
      </vt:variant>
      <vt:variant>
        <vt:lpwstr>_Toc28786</vt:lpwstr>
      </vt:variant>
      <vt:variant>
        <vt:i4>1441847</vt:i4>
      </vt:variant>
      <vt:variant>
        <vt:i4>65</vt:i4>
      </vt:variant>
      <vt:variant>
        <vt:i4>0</vt:i4>
      </vt:variant>
      <vt:variant>
        <vt:i4>5</vt:i4>
      </vt:variant>
      <vt:variant>
        <vt:lpwstr/>
      </vt:variant>
      <vt:variant>
        <vt:lpwstr>_Toc32434</vt:lpwstr>
      </vt:variant>
      <vt:variant>
        <vt:i4>1048631</vt:i4>
      </vt:variant>
      <vt:variant>
        <vt:i4>62</vt:i4>
      </vt:variant>
      <vt:variant>
        <vt:i4>0</vt:i4>
      </vt:variant>
      <vt:variant>
        <vt:i4>5</vt:i4>
      </vt:variant>
      <vt:variant>
        <vt:lpwstr/>
      </vt:variant>
      <vt:variant>
        <vt:lpwstr>_Toc24532</vt:lpwstr>
      </vt:variant>
      <vt:variant>
        <vt:i4>1376314</vt:i4>
      </vt:variant>
      <vt:variant>
        <vt:i4>59</vt:i4>
      </vt:variant>
      <vt:variant>
        <vt:i4>0</vt:i4>
      </vt:variant>
      <vt:variant>
        <vt:i4>5</vt:i4>
      </vt:variant>
      <vt:variant>
        <vt:lpwstr/>
      </vt:variant>
      <vt:variant>
        <vt:lpwstr>_Toc2183</vt:lpwstr>
      </vt:variant>
      <vt:variant>
        <vt:i4>1900597</vt:i4>
      </vt:variant>
      <vt:variant>
        <vt:i4>56</vt:i4>
      </vt:variant>
      <vt:variant>
        <vt:i4>0</vt:i4>
      </vt:variant>
      <vt:variant>
        <vt:i4>5</vt:i4>
      </vt:variant>
      <vt:variant>
        <vt:lpwstr/>
      </vt:variant>
      <vt:variant>
        <vt:lpwstr>_Toc22784</vt:lpwstr>
      </vt:variant>
      <vt:variant>
        <vt:i4>1376310</vt:i4>
      </vt:variant>
      <vt:variant>
        <vt:i4>53</vt:i4>
      </vt:variant>
      <vt:variant>
        <vt:i4>0</vt:i4>
      </vt:variant>
      <vt:variant>
        <vt:i4>5</vt:i4>
      </vt:variant>
      <vt:variant>
        <vt:lpwstr/>
      </vt:variant>
      <vt:variant>
        <vt:lpwstr>_Toc3250</vt:lpwstr>
      </vt:variant>
      <vt:variant>
        <vt:i4>1966131</vt:i4>
      </vt:variant>
      <vt:variant>
        <vt:i4>50</vt:i4>
      </vt:variant>
      <vt:variant>
        <vt:i4>0</vt:i4>
      </vt:variant>
      <vt:variant>
        <vt:i4>5</vt:i4>
      </vt:variant>
      <vt:variant>
        <vt:lpwstr/>
      </vt:variant>
      <vt:variant>
        <vt:lpwstr>_Toc11283</vt:lpwstr>
      </vt:variant>
      <vt:variant>
        <vt:i4>1376305</vt:i4>
      </vt:variant>
      <vt:variant>
        <vt:i4>47</vt:i4>
      </vt:variant>
      <vt:variant>
        <vt:i4>0</vt:i4>
      </vt:variant>
      <vt:variant>
        <vt:i4>5</vt:i4>
      </vt:variant>
      <vt:variant>
        <vt:lpwstr/>
      </vt:variant>
      <vt:variant>
        <vt:lpwstr>_Toc8391</vt:lpwstr>
      </vt:variant>
      <vt:variant>
        <vt:i4>2424834</vt:i4>
      </vt:variant>
      <vt:variant>
        <vt:i4>44</vt:i4>
      </vt:variant>
      <vt:variant>
        <vt:i4>0</vt:i4>
      </vt:variant>
      <vt:variant>
        <vt:i4>5</vt:i4>
      </vt:variant>
      <vt:variant>
        <vt:lpwstr/>
      </vt:variant>
      <vt:variant>
        <vt:lpwstr>_Toc227</vt:lpwstr>
      </vt:variant>
      <vt:variant>
        <vt:i4>1179700</vt:i4>
      </vt:variant>
      <vt:variant>
        <vt:i4>41</vt:i4>
      </vt:variant>
      <vt:variant>
        <vt:i4>0</vt:i4>
      </vt:variant>
      <vt:variant>
        <vt:i4>5</vt:i4>
      </vt:variant>
      <vt:variant>
        <vt:lpwstr/>
      </vt:variant>
      <vt:variant>
        <vt:lpwstr>_Toc14519</vt:lpwstr>
      </vt:variant>
      <vt:variant>
        <vt:i4>1048626</vt:i4>
      </vt:variant>
      <vt:variant>
        <vt:i4>38</vt:i4>
      </vt:variant>
      <vt:variant>
        <vt:i4>0</vt:i4>
      </vt:variant>
      <vt:variant>
        <vt:i4>5</vt:i4>
      </vt:variant>
      <vt:variant>
        <vt:lpwstr/>
      </vt:variant>
      <vt:variant>
        <vt:lpwstr>_Toc1235</vt:lpwstr>
      </vt:variant>
      <vt:variant>
        <vt:i4>2031668</vt:i4>
      </vt:variant>
      <vt:variant>
        <vt:i4>35</vt:i4>
      </vt:variant>
      <vt:variant>
        <vt:i4>0</vt:i4>
      </vt:variant>
      <vt:variant>
        <vt:i4>5</vt:i4>
      </vt:variant>
      <vt:variant>
        <vt:lpwstr/>
      </vt:variant>
      <vt:variant>
        <vt:lpwstr>_Toc5810</vt:lpwstr>
      </vt:variant>
      <vt:variant>
        <vt:i4>1507383</vt:i4>
      </vt:variant>
      <vt:variant>
        <vt:i4>32</vt:i4>
      </vt:variant>
      <vt:variant>
        <vt:i4>0</vt:i4>
      </vt:variant>
      <vt:variant>
        <vt:i4>5</vt:i4>
      </vt:variant>
      <vt:variant>
        <vt:lpwstr/>
      </vt:variant>
      <vt:variant>
        <vt:lpwstr>_Toc21518</vt:lpwstr>
      </vt:variant>
      <vt:variant>
        <vt:i4>1048635</vt:i4>
      </vt:variant>
      <vt:variant>
        <vt:i4>29</vt:i4>
      </vt:variant>
      <vt:variant>
        <vt:i4>0</vt:i4>
      </vt:variant>
      <vt:variant>
        <vt:i4>5</vt:i4>
      </vt:variant>
      <vt:variant>
        <vt:lpwstr/>
      </vt:variant>
      <vt:variant>
        <vt:lpwstr>_Toc30870</vt:lpwstr>
      </vt:variant>
      <vt:variant>
        <vt:i4>1114161</vt:i4>
      </vt:variant>
      <vt:variant>
        <vt:i4>26</vt:i4>
      </vt:variant>
      <vt:variant>
        <vt:i4>0</vt:i4>
      </vt:variant>
      <vt:variant>
        <vt:i4>5</vt:i4>
      </vt:variant>
      <vt:variant>
        <vt:lpwstr/>
      </vt:variant>
      <vt:variant>
        <vt:lpwstr>_Toc20360</vt:lpwstr>
      </vt:variant>
      <vt:variant>
        <vt:i4>1507383</vt:i4>
      </vt:variant>
      <vt:variant>
        <vt:i4>23</vt:i4>
      </vt:variant>
      <vt:variant>
        <vt:i4>0</vt:i4>
      </vt:variant>
      <vt:variant>
        <vt:i4>5</vt:i4>
      </vt:variant>
      <vt:variant>
        <vt:lpwstr/>
      </vt:variant>
      <vt:variant>
        <vt:lpwstr>_Toc26564</vt:lpwstr>
      </vt:variant>
      <vt:variant>
        <vt:i4>1310771</vt:i4>
      </vt:variant>
      <vt:variant>
        <vt:i4>20</vt:i4>
      </vt:variant>
      <vt:variant>
        <vt:i4>0</vt:i4>
      </vt:variant>
      <vt:variant>
        <vt:i4>5</vt:i4>
      </vt:variant>
      <vt:variant>
        <vt:lpwstr/>
      </vt:variant>
      <vt:variant>
        <vt:lpwstr>_Toc13201</vt:lpwstr>
      </vt:variant>
      <vt:variant>
        <vt:i4>1114160</vt:i4>
      </vt:variant>
      <vt:variant>
        <vt:i4>17</vt:i4>
      </vt:variant>
      <vt:variant>
        <vt:i4>0</vt:i4>
      </vt:variant>
      <vt:variant>
        <vt:i4>5</vt:i4>
      </vt:variant>
      <vt:variant>
        <vt:lpwstr/>
      </vt:variant>
      <vt:variant>
        <vt:lpwstr>_Toc12142</vt:lpwstr>
      </vt:variant>
      <vt:variant>
        <vt:i4>1245233</vt:i4>
      </vt:variant>
      <vt:variant>
        <vt:i4>14</vt:i4>
      </vt:variant>
      <vt:variant>
        <vt:i4>0</vt:i4>
      </vt:variant>
      <vt:variant>
        <vt:i4>5</vt:i4>
      </vt:variant>
      <vt:variant>
        <vt:lpwstr/>
      </vt:variant>
      <vt:variant>
        <vt:lpwstr>_Toc25314</vt:lpwstr>
      </vt:variant>
      <vt:variant>
        <vt:i4>1638449</vt:i4>
      </vt:variant>
      <vt:variant>
        <vt:i4>11</vt:i4>
      </vt:variant>
      <vt:variant>
        <vt:i4>0</vt:i4>
      </vt:variant>
      <vt:variant>
        <vt:i4>5</vt:i4>
      </vt:variant>
      <vt:variant>
        <vt:lpwstr/>
      </vt:variant>
      <vt:variant>
        <vt:lpwstr>_Toc29374</vt:lpwstr>
      </vt:variant>
      <vt:variant>
        <vt:i4>1507383</vt:i4>
      </vt:variant>
      <vt:variant>
        <vt:i4>8</vt:i4>
      </vt:variant>
      <vt:variant>
        <vt:i4>0</vt:i4>
      </vt:variant>
      <vt:variant>
        <vt:i4>5</vt:i4>
      </vt:variant>
      <vt:variant>
        <vt:lpwstr/>
      </vt:variant>
      <vt:variant>
        <vt:lpwstr>_Toc2151</vt:lpwstr>
      </vt:variant>
      <vt:variant>
        <vt:i4>1114166</vt:i4>
      </vt:variant>
      <vt:variant>
        <vt:i4>5</vt:i4>
      </vt:variant>
      <vt:variant>
        <vt:i4>0</vt:i4>
      </vt:variant>
      <vt:variant>
        <vt:i4>5</vt:i4>
      </vt:variant>
      <vt:variant>
        <vt:lpwstr/>
      </vt:variant>
      <vt:variant>
        <vt:lpwstr>_Toc30567</vt:lpwstr>
      </vt:variant>
      <vt:variant>
        <vt:i4>1310768</vt:i4>
      </vt:variant>
      <vt:variant>
        <vt:i4>2</vt:i4>
      </vt:variant>
      <vt:variant>
        <vt:i4>0</vt:i4>
      </vt:variant>
      <vt:variant>
        <vt:i4>5</vt:i4>
      </vt:variant>
      <vt:variant>
        <vt:lpwstr/>
      </vt:variant>
      <vt:variant>
        <vt:lpwstr>_Toc32314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2020-09-08T14:04:00Z</dcterms:created>
  <dc:creator>GXR</dc:creator>
  <cp:lastModifiedBy>Wevil Dwyane</cp:lastModifiedBy>
  <dcterms:modified xsi:type="dcterms:W3CDTF">2020-09-11T11:08:00Z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