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hint="eastAsia" w:ascii="方正小标宋简体" w:eastAsia="方正小标宋简体"/>
          <w:sz w:val="44"/>
          <w:szCs w:val="44"/>
        </w:rPr>
      </w:pPr>
      <w:bookmarkStart w:id="8" w:name="_GoBack"/>
      <w:bookmarkEnd w:id="8"/>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喀什地区计量检定所计量检定成本性支出项目支出绩效评价报告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项目名称：计量检定成本性支出项目　</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实施单位：喀什地区计量检定所</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评价部门：喀什地区计量检定所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after="120" w:afterLines="50" w:line="600" w:lineRule="exact"/>
        <w:rPr>
          <w:rFonts w:ascii="方正小标宋简体" w:hAnsi="仿宋_GB2312" w:eastAsia="方正小标宋简体" w:cs="仿宋_GB2312"/>
          <w:color w:val="FF0000"/>
          <w:kern w:val="0"/>
          <w:sz w:val="44"/>
          <w:szCs w:val="44"/>
          <w:shd w:val="clear" w:color="auto" w:fill="FFFFFF"/>
        </w:rPr>
      </w:pP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pStyle w:val="19"/>
        <w:numPr>
          <w:ilvl w:val="0"/>
          <w:numId w:val="3"/>
        </w:numPr>
        <w:spacing w:before="120"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spacing w:line="500" w:lineRule="exact"/>
        <w:ind w:firstLine="640" w:firstLineChars="200"/>
        <w:rPr>
          <w:rFonts w:ascii="仿宋" w:hAnsi="仿宋" w:eastAsia="仿宋"/>
          <w:sz w:val="32"/>
          <w:szCs w:val="32"/>
        </w:rPr>
      </w:pPr>
      <w:r>
        <w:rPr>
          <w:rFonts w:hint="eastAsia" w:ascii="仿宋_GB2312" w:hAnsi="仿宋_GB2312" w:eastAsia="仿宋_GB2312" w:cs="仿宋_GB2312"/>
          <w:kern w:val="0"/>
          <w:sz w:val="32"/>
          <w:szCs w:val="32"/>
          <w:shd w:val="clear" w:color="auto" w:fill="FFFFFF"/>
        </w:rPr>
        <w:t>立项背景：</w:t>
      </w:r>
      <w:r>
        <w:rPr>
          <w:rFonts w:hint="eastAsia" w:ascii="仿宋" w:hAnsi="仿宋" w:eastAsia="仿宋"/>
          <w:sz w:val="32"/>
          <w:szCs w:val="32"/>
        </w:rPr>
        <w:t>喀什地区计量检定所是归属喀什地区质量技术监督局的计量检定机构，建立和保存喀什地区社会公用计量标准十大类、三十四项，已开展力学、长度、电学、无线电、时间频率、声学、光学、热学、理化、电离辐射等10大类计量检验工作，是喀什地区计量检测设备先进、技术力量强，唯一通过省级法定计量检定机构考核和计量授权的地区级计量检定机构。</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立项依据：</w:t>
      </w:r>
      <w:r>
        <w:rPr>
          <w:rFonts w:hint="eastAsia" w:ascii="仿宋_GB2312" w:hAnsi="仿宋_GB2312" w:eastAsia="仿宋_GB2312" w:cs="仿宋_GB2312"/>
          <w:kern w:val="0"/>
          <w:sz w:val="32"/>
          <w:szCs w:val="32"/>
          <w:shd w:val="clear" w:color="auto" w:fill="FFFFFF"/>
        </w:rPr>
        <w:t>本项目根据《新疆维吾尔自治区喀什地区行政公署办公室文件（喀暑办发【2016】90号）上批示《喀什地区质量技术监督局主要职责内设机构和人员编制规定》的职能：严格遵守国家有关的计量法律、法规，认真履行计量法律、法规所赋予的职责，负责建立和保存喀什地区最高社会公用计量标准，在授权范围内从事计量检定、校准活动，并接受政府计量行政部门的监督和管理，依法执行量值传递，开展计量检定、校准、定量包装产（商）品净含量检验和技术咨询等技术活动。从事的检校验活动都应遵循JJF1069《法定计量检定机构考核规定》执行。</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2.项目主要内容及实施情况</w:t>
      </w:r>
    </w:p>
    <w:p>
      <w:pPr>
        <w:spacing w:before="120"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非建设类项目：</w:t>
      </w:r>
    </w:p>
    <w:p>
      <w:pPr>
        <w:spacing w:before="120"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项目实施前进行了调研，是成立专门的评估小组，收集整理相关资料，进行同行业调查，了解今年相关项目的实施运行情况，对资料进行分析等。制定实施方案，项目实施过程中严格按照实施方案进行实施并及时进行监督管理，因为项目是经常性的开支，有些项目不需要验收及后期维护。</w:t>
      </w:r>
    </w:p>
    <w:p>
      <w:pPr>
        <w:spacing w:before="120"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3.项目负责人为张宏伟，主要职责为把关整个项目的支出进度，审批签字等。</w:t>
      </w:r>
    </w:p>
    <w:p>
      <w:pPr>
        <w:pStyle w:val="25"/>
        <w:ind w:left="0" w:firstLine="643" w:firstLineChars="200"/>
      </w:pPr>
      <w:bookmarkStart w:id="1" w:name="_Toc26401550"/>
      <w:r>
        <w:rPr>
          <w:rFonts w:hint="eastAsia"/>
        </w:rPr>
        <w:t>资金</w:t>
      </w:r>
      <w:bookmarkEnd w:id="1"/>
      <w:r>
        <w:rPr>
          <w:rFonts w:hint="eastAsia"/>
        </w:rPr>
        <w:t>投入和使用情况</w:t>
      </w:r>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项目资金情况包括项目预算、资金组成以及预算执行、结果等；</w:t>
      </w:r>
    </w:p>
    <w:p>
      <w:pPr>
        <w:spacing w:before="120"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本项目总投资84元，资金来源为本级部门预算。计量检定成本性支出项目资金的使用范围：物业管理费、检测用水电费、设备送检费、检验仪器设备维护保养、检定校准费、检验所需的药品、标准物质、低值易耗品等费用、劳务费等的成本性开支。</w:t>
      </w:r>
    </w:p>
    <w:p>
      <w:pPr>
        <w:spacing w:before="120"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喀什地区产品质量检验所制定了计量检定成本性支出项目资金管理办法，按照预算批复文件进行使用。</w:t>
      </w:r>
    </w:p>
    <w:p>
      <w:pPr>
        <w:pStyle w:val="25"/>
        <w:ind w:left="0" w:firstLine="643" w:firstLineChars="200"/>
      </w:pPr>
      <w:bookmarkStart w:id="2" w:name="_Toc26401551"/>
      <w:r>
        <w:rPr>
          <w:rFonts w:hint="eastAsia"/>
        </w:rPr>
        <w:t>绩效目标</w:t>
      </w:r>
      <w:bookmarkEnd w:id="2"/>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1、</w:t>
      </w:r>
      <w:r>
        <w:rPr>
          <w:rFonts w:ascii="仿宋_GB2312" w:hAnsi="仿宋" w:eastAsia="仿宋_GB2312" w:cs="宋体"/>
          <w:sz w:val="32"/>
          <w:szCs w:val="32"/>
        </w:rPr>
        <w:t>承担喀什地区产（商）品及周边地区部分产（商）品的</w:t>
      </w:r>
      <w:r>
        <w:rPr>
          <w:rFonts w:hint="eastAsia" w:ascii="仿宋_GB2312" w:hAnsi="仿宋" w:eastAsia="仿宋_GB2312" w:cs="宋体"/>
          <w:sz w:val="32"/>
          <w:szCs w:val="32"/>
        </w:rPr>
        <w:t>计量数据准确的</w:t>
      </w:r>
      <w:r>
        <w:rPr>
          <w:rFonts w:ascii="仿宋_GB2312" w:hAnsi="仿宋" w:eastAsia="仿宋_GB2312" w:cs="宋体"/>
          <w:sz w:val="32"/>
          <w:szCs w:val="32"/>
        </w:rPr>
        <w:t>监督检验、委托检验等任务 ，推进地区</w:t>
      </w:r>
      <w:r>
        <w:rPr>
          <w:rFonts w:hint="eastAsia" w:ascii="仿宋_GB2312" w:hAnsi="仿宋" w:eastAsia="仿宋_GB2312" w:cs="宋体"/>
          <w:sz w:val="32"/>
          <w:szCs w:val="32"/>
        </w:rPr>
        <w:t>计量器具、医疗用具、大小农贸市场计量器具衡器，数据参数</w:t>
      </w:r>
      <w:r>
        <w:rPr>
          <w:rFonts w:ascii="仿宋_GB2312" w:hAnsi="仿宋" w:eastAsia="仿宋_GB2312" w:cs="宋体"/>
          <w:sz w:val="32"/>
          <w:szCs w:val="32"/>
        </w:rPr>
        <w:t>标准化确保</w:t>
      </w:r>
      <w:r>
        <w:rPr>
          <w:rFonts w:hint="eastAsia" w:ascii="仿宋_GB2312" w:hAnsi="仿宋" w:eastAsia="仿宋_GB2312" w:cs="宋体"/>
          <w:sz w:val="32"/>
          <w:szCs w:val="32"/>
        </w:rPr>
        <w:t>全地区人民的</w:t>
      </w:r>
      <w:r>
        <w:rPr>
          <w:rFonts w:ascii="仿宋_GB2312" w:hAnsi="仿宋" w:eastAsia="仿宋_GB2312" w:cs="宋体"/>
          <w:sz w:val="32"/>
          <w:szCs w:val="32"/>
        </w:rPr>
        <w:t>利益不受侵害 。</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2、</w:t>
      </w:r>
      <w:r>
        <w:rPr>
          <w:rFonts w:ascii="仿宋_GB2312" w:hAnsi="仿宋" w:eastAsia="仿宋_GB2312" w:cs="宋体"/>
          <w:sz w:val="32"/>
          <w:szCs w:val="32"/>
        </w:rPr>
        <w:t>确保全年征收计划任务数的完成；确保全年检验批次的完成；确保重点检验设备的检定率达到100%；确保检验</w:t>
      </w:r>
      <w:r>
        <w:rPr>
          <w:rFonts w:hint="eastAsia" w:ascii="仿宋_GB2312" w:hAnsi="仿宋" w:eastAsia="仿宋_GB2312" w:cs="宋体"/>
          <w:sz w:val="32"/>
          <w:szCs w:val="32"/>
        </w:rPr>
        <w:t>计量器具</w:t>
      </w:r>
      <w:r>
        <w:rPr>
          <w:rFonts w:ascii="仿宋_GB2312" w:hAnsi="仿宋" w:eastAsia="仿宋_GB2312" w:cs="宋体"/>
          <w:sz w:val="32"/>
          <w:szCs w:val="32"/>
        </w:rPr>
        <w:t xml:space="preserve">数据的准确。                                                </w:t>
      </w:r>
    </w:p>
    <w:p>
      <w:pPr>
        <w:spacing w:before="120" w:beforeLines="50" w:line="600" w:lineRule="exact"/>
        <w:ind w:firstLine="640" w:firstLineChars="200"/>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3、计量检定</w:t>
      </w:r>
      <w:r>
        <w:rPr>
          <w:rFonts w:ascii="仿宋_GB2312" w:hAnsi="仿宋_GB2312" w:eastAsia="仿宋_GB2312" w:cs="仿宋_GB2312"/>
          <w:kern w:val="0"/>
          <w:sz w:val="32"/>
          <w:szCs w:val="32"/>
          <w:shd w:val="clear" w:color="auto" w:fill="FFFFFF"/>
        </w:rPr>
        <w:t>成本性支出项目，确保年度工作任务及时高效完成，确保</w:t>
      </w:r>
      <w:r>
        <w:rPr>
          <w:rFonts w:hint="eastAsia" w:ascii="仿宋_GB2312" w:hAnsi="仿宋_GB2312" w:eastAsia="仿宋_GB2312" w:cs="仿宋_GB2312"/>
          <w:kern w:val="0"/>
          <w:sz w:val="32"/>
          <w:szCs w:val="32"/>
          <w:shd w:val="clear" w:color="auto" w:fill="FFFFFF"/>
        </w:rPr>
        <w:t>计量器具</w:t>
      </w:r>
      <w:r>
        <w:rPr>
          <w:rFonts w:ascii="仿宋_GB2312" w:hAnsi="仿宋_GB2312" w:eastAsia="仿宋_GB2312" w:cs="仿宋_GB2312"/>
          <w:kern w:val="0"/>
          <w:sz w:val="32"/>
          <w:szCs w:val="32"/>
          <w:shd w:val="clear" w:color="auto" w:fill="FFFFFF"/>
        </w:rPr>
        <w:t>检验数据真实可靠，提升本地区生产企业</w:t>
      </w:r>
      <w:r>
        <w:rPr>
          <w:rFonts w:hint="eastAsia" w:ascii="仿宋_GB2312" w:hAnsi="仿宋_GB2312" w:eastAsia="仿宋_GB2312" w:cs="仿宋_GB2312"/>
          <w:kern w:val="0"/>
          <w:sz w:val="32"/>
          <w:szCs w:val="32"/>
          <w:shd w:val="clear" w:color="auto" w:fill="FFFFFF"/>
        </w:rPr>
        <w:t>计量器具检验数据准确</w:t>
      </w:r>
      <w:r>
        <w:rPr>
          <w:rFonts w:ascii="仿宋_GB2312" w:hAnsi="仿宋_GB2312" w:eastAsia="仿宋_GB2312" w:cs="仿宋_GB2312"/>
          <w:kern w:val="0"/>
          <w:sz w:val="32"/>
          <w:szCs w:val="32"/>
          <w:shd w:val="clear" w:color="auto" w:fill="FFFFFF"/>
        </w:rPr>
        <w:t>，保障</w:t>
      </w:r>
      <w:r>
        <w:rPr>
          <w:rFonts w:hint="eastAsia" w:ascii="仿宋_GB2312" w:hAnsi="仿宋_GB2312" w:eastAsia="仿宋_GB2312" w:cs="仿宋_GB2312"/>
          <w:kern w:val="0"/>
          <w:sz w:val="32"/>
          <w:szCs w:val="32"/>
          <w:shd w:val="clear" w:color="auto" w:fill="FFFFFF"/>
        </w:rPr>
        <w:t>全地区企事业单位计量器具</w:t>
      </w:r>
      <w:r>
        <w:rPr>
          <w:rFonts w:ascii="仿宋_GB2312" w:hAnsi="仿宋_GB2312" w:eastAsia="仿宋_GB2312" w:cs="仿宋_GB2312"/>
          <w:kern w:val="0"/>
          <w:sz w:val="32"/>
          <w:szCs w:val="32"/>
          <w:shd w:val="clear" w:color="auto" w:fill="FFFFFF"/>
        </w:rPr>
        <w:t>社会目标，指导帮助企业建立和健全</w:t>
      </w:r>
      <w:r>
        <w:rPr>
          <w:rFonts w:hint="eastAsia" w:ascii="仿宋_GB2312" w:hAnsi="仿宋_GB2312" w:eastAsia="仿宋_GB2312" w:cs="仿宋_GB2312"/>
          <w:kern w:val="0"/>
          <w:sz w:val="32"/>
          <w:szCs w:val="32"/>
          <w:shd w:val="clear" w:color="auto" w:fill="FFFFFF"/>
        </w:rPr>
        <w:t>检测数据可溯源体系</w:t>
      </w:r>
      <w:r>
        <w:rPr>
          <w:rFonts w:ascii="仿宋_GB2312" w:hAnsi="仿宋_GB2312" w:eastAsia="仿宋_GB2312" w:cs="仿宋_GB2312"/>
          <w:kern w:val="0"/>
          <w:sz w:val="32"/>
          <w:szCs w:val="32"/>
          <w:shd w:val="clear" w:color="auto" w:fill="FFFFFF"/>
        </w:rPr>
        <w:t>，执行正确统一的检测方法；对各县（市）局的检验机构进行业务技术指导。</w:t>
      </w:r>
    </w:p>
    <w:p>
      <w:pPr>
        <w:spacing w:before="120" w:beforeLines="50" w:line="600" w:lineRule="exact"/>
        <w:ind w:firstLine="645"/>
        <w:rPr>
          <w:rFonts w:ascii="仿宋_GB2312" w:hAnsi="仿宋" w:eastAsia="仿宋_GB2312" w:cs="宋体"/>
          <w:color w:val="FF0000"/>
          <w:sz w:val="32"/>
          <w:szCs w:val="32"/>
        </w:rPr>
      </w:pPr>
      <w:r>
        <w:rPr>
          <w:rFonts w:hint="eastAsia" w:ascii="仿宋_GB2312" w:hAnsi="仿宋" w:eastAsia="仿宋_GB2312" w:cs="宋体"/>
          <w:sz w:val="32"/>
          <w:szCs w:val="32"/>
        </w:rPr>
        <w:t>本项目共设置一级指标</w:t>
      </w:r>
      <w:r>
        <w:rPr>
          <w:rFonts w:ascii="仿宋_GB2312" w:hAnsi="仿宋" w:eastAsia="仿宋_GB2312" w:cs="宋体"/>
          <w:sz w:val="32"/>
          <w:szCs w:val="32"/>
        </w:rPr>
        <w:t>3个，二级指标7个，三级指标11个，绩效目标完成情况如下：</w:t>
      </w:r>
      <w:r>
        <w:rPr>
          <w:rFonts w:hint="eastAsia" w:ascii="仿宋_GB2312" w:hAnsi="仿宋" w:eastAsia="仿宋_GB2312" w:cs="宋体"/>
          <w:sz w:val="32"/>
          <w:szCs w:val="32"/>
        </w:rPr>
        <w:t>，绩效目标申报表详见附件1。</w:t>
      </w:r>
    </w:p>
    <w:p>
      <w:pPr>
        <w:pStyle w:val="23"/>
        <w:numPr>
          <w:ilvl w:val="0"/>
          <w:numId w:val="2"/>
        </w:numPr>
        <w:ind w:firstLineChars="0"/>
      </w:pPr>
      <w:bookmarkStart w:id="3" w:name="_Toc26401552"/>
      <w:r>
        <w:rPr>
          <w:rFonts w:hint="eastAsia"/>
        </w:rPr>
        <w:t>评价工作简述</w:t>
      </w:r>
      <w:bookmarkEnd w:id="3"/>
    </w:p>
    <w:p>
      <w:pPr>
        <w:pStyle w:val="25"/>
        <w:numPr>
          <w:ilvl w:val="0"/>
          <w:numId w:val="4"/>
        </w:numPr>
        <w:ind w:left="0" w:firstLine="643" w:firstLineChars="200"/>
      </w:pPr>
      <w:bookmarkStart w:id="4" w:name="_Toc26401553"/>
      <w:r>
        <w:rPr>
          <w:rFonts w:hint="eastAsia"/>
        </w:rPr>
        <w:t>评价目的</w:t>
      </w:r>
      <w:bookmarkEnd w:id="4"/>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旨在评价产品质量检验成本性支出项目实施前期、过程及效果，评价财政预算资金使用的效率及效益。</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开展本项目绩效评价目的是为了能够有效的加强财政资金支出使用管理，强化支出责任，合理配置资源。</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达到的效果：</w:t>
      </w:r>
      <w:r>
        <w:rPr>
          <w:rFonts w:hint="eastAsia" w:ascii="仿宋_GB2312" w:eastAsia="仿宋_GB2312" w:cs="宋体"/>
          <w:bCs/>
          <w:sz w:val="32"/>
          <w:szCs w:val="32"/>
        </w:rPr>
        <w:t>提高财政资金使用效益，做到</w:t>
      </w:r>
      <w:r>
        <w:rPr>
          <w:rFonts w:hint="eastAsia" w:ascii="仿宋_GB2312" w:hAnsi="仿宋" w:eastAsia="仿宋_GB2312" w:cs="宋体"/>
          <w:sz w:val="32"/>
          <w:szCs w:val="32"/>
        </w:rPr>
        <w:t>资金使用上</w:t>
      </w:r>
      <w:r>
        <w:rPr>
          <w:rFonts w:hint="eastAsia" w:ascii="仿宋_GB2312" w:eastAsia="仿宋_GB2312" w:cs="宋体"/>
          <w:bCs/>
          <w:sz w:val="32"/>
          <w:szCs w:val="32"/>
        </w:rPr>
        <w:t>客观公正、科学规范</w:t>
      </w:r>
      <w:r>
        <w:rPr>
          <w:rFonts w:hint="eastAsia" w:ascii="仿宋_GB2312" w:hAnsi="仿宋" w:eastAsia="仿宋_GB2312" w:cs="宋体"/>
          <w:sz w:val="32"/>
          <w:szCs w:val="32"/>
        </w:rPr>
        <w:t>。</w:t>
      </w:r>
    </w:p>
    <w:p>
      <w:pPr>
        <w:pStyle w:val="25"/>
        <w:numPr>
          <w:ilvl w:val="0"/>
          <w:numId w:val="4"/>
        </w:numPr>
        <w:ind w:left="0" w:firstLine="643" w:firstLineChars="200"/>
      </w:pPr>
      <w:r>
        <w:rPr>
          <w:rFonts w:hint="eastAsia"/>
        </w:rPr>
        <w:t>本次绩效评价的对象及范围</w:t>
      </w:r>
      <w:bookmarkStart w:id="5" w:name="_Toc26401554"/>
    </w:p>
    <w:p>
      <w:pPr>
        <w:spacing w:before="120"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rPr>
        <w:t>计量检定成本性支出</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5"/>
        <w:numPr>
          <w:ilvl w:val="0"/>
          <w:numId w:val="4"/>
        </w:numPr>
        <w:ind w:left="0" w:firstLine="643" w:firstLineChars="200"/>
      </w:pPr>
      <w:r>
        <w:rPr>
          <w:rFonts w:hint="eastAsia"/>
        </w:rPr>
        <w:t>绩效评价原则</w:t>
      </w:r>
      <w:bookmarkEnd w:id="5"/>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5"/>
        <w:numPr>
          <w:ilvl w:val="0"/>
          <w:numId w:val="4"/>
        </w:numPr>
        <w:ind w:left="0" w:firstLine="643" w:firstLineChars="200"/>
      </w:pPr>
      <w:r>
        <w:rPr>
          <w:rFonts w:hint="eastAsia"/>
        </w:rPr>
        <w:t>本项目绩效评价体系</w:t>
      </w:r>
    </w:p>
    <w:p>
      <w:pPr>
        <w:pStyle w:val="25"/>
        <w:numPr>
          <w:ilvl w:val="0"/>
          <w:numId w:val="0"/>
        </w:numPr>
        <w:ind w:firstLine="640" w:firstLineChars="200"/>
        <w:rPr>
          <w:b w:val="0"/>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号共性指标及个性化指标设置，详见附件2。</w:t>
      </w:r>
    </w:p>
    <w:p>
      <w:pPr>
        <w:pStyle w:val="25"/>
        <w:keepNext w:val="0"/>
        <w:keepLines w:val="0"/>
        <w:numPr>
          <w:ilvl w:val="0"/>
          <w:numId w:val="4"/>
        </w:numPr>
        <w:ind w:left="0" w:firstLine="643" w:firstLineChars="200"/>
      </w:pPr>
      <w:bookmarkStart w:id="6" w:name="_Toc26401555"/>
      <w:r>
        <w:rPr>
          <w:rFonts w:hint="eastAsia"/>
        </w:rPr>
        <w:t>绩效评价方法</w:t>
      </w:r>
      <w:bookmarkEnd w:id="6"/>
    </w:p>
    <w:p>
      <w:pPr>
        <w:spacing w:before="120"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本次绩效评价方法的选用坚持简便有效的原则采用比较法、因素分析法、回溯分析法、综合分析法。</w:t>
      </w:r>
    </w:p>
    <w:p>
      <w:pPr>
        <w:pStyle w:val="25"/>
        <w:keepNext w:val="0"/>
        <w:keepLines w:val="0"/>
        <w:numPr>
          <w:ilvl w:val="0"/>
          <w:numId w:val="4"/>
        </w:numPr>
        <w:ind w:left="0" w:firstLine="643" w:firstLineChars="200"/>
      </w:pPr>
      <w:r>
        <w:rPr>
          <w:rFonts w:hint="eastAsia"/>
        </w:rPr>
        <w:t>评价标准</w:t>
      </w:r>
    </w:p>
    <w:p>
      <w:pPr>
        <w:pStyle w:val="25"/>
        <w:keepNext w:val="0"/>
        <w:keepLines w:val="0"/>
        <w:numPr>
          <w:ilvl w:val="0"/>
          <w:numId w:val="0"/>
        </w:numPr>
        <w:ind w:firstLine="645"/>
      </w:pPr>
      <w:r>
        <w:rPr>
          <w:rFonts w:hint="eastAsia"/>
        </w:rPr>
        <w:t>项目评价标准采用</w:t>
      </w:r>
      <w:r>
        <w:rPr>
          <w:rFonts w:hint="eastAsia"/>
          <w:bCs w:val="0"/>
        </w:rPr>
        <w:t>计划标准、历史标准</w:t>
      </w:r>
      <w:r>
        <w:rPr>
          <w:rFonts w:hint="eastAsia" w:hAnsi="仿宋" w:cs="宋体"/>
          <w:b w:val="0"/>
          <w:bCs w:val="0"/>
        </w:rPr>
        <w:t>。</w:t>
      </w:r>
    </w:p>
    <w:p>
      <w:pPr>
        <w:pStyle w:val="25"/>
        <w:keepNext w:val="0"/>
        <w:keepLines w:val="0"/>
        <w:numPr>
          <w:ilvl w:val="0"/>
          <w:numId w:val="4"/>
        </w:numPr>
        <w:ind w:left="0" w:firstLine="643" w:firstLineChars="200"/>
      </w:pPr>
      <w:r>
        <w:rPr>
          <w:rFonts w:hint="eastAsia"/>
        </w:rPr>
        <w:t>绩效评价工作过程</w:t>
      </w:r>
    </w:p>
    <w:p>
      <w:pPr>
        <w:pStyle w:val="25"/>
        <w:keepNext w:val="0"/>
        <w:keepLines w:val="0"/>
        <w:numPr>
          <w:ilvl w:val="0"/>
          <w:numId w:val="0"/>
        </w:numPr>
        <w:ind w:firstLine="640" w:firstLineChars="200"/>
        <w:outlineLvl w:val="9"/>
        <w:rPr>
          <w:b w:val="0"/>
          <w:bCs w:val="0"/>
        </w:rPr>
      </w:pPr>
      <w:r>
        <w:rPr>
          <w:rFonts w:hint="eastAsia"/>
          <w:b w:val="0"/>
          <w:bCs w:val="0"/>
        </w:rPr>
        <w:t>本次评价成立了评价，成员如下：</w:t>
      </w:r>
    </w:p>
    <w:tbl>
      <w:tblPr>
        <w:tblStyle w:val="1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张宏伟</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代理所长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杨志刚</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总工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谭钧</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副所长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梁晨</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ind w:firstLine="960" w:firstLineChars="300"/>
              <w:rPr>
                <w:b w:val="0"/>
                <w:bCs w:val="0"/>
              </w:rPr>
            </w:pPr>
            <w:r>
              <w:rPr>
                <w:rFonts w:hint="eastAsia"/>
                <w:b w:val="0"/>
                <w:bCs w:val="0"/>
              </w:rPr>
              <w:t>会计</w:t>
            </w:r>
          </w:p>
        </w:tc>
      </w:tr>
    </w:tbl>
    <w:p>
      <w:pPr>
        <w:pStyle w:val="25"/>
        <w:keepNext w:val="0"/>
        <w:keepLines w:val="0"/>
        <w:numPr>
          <w:ilvl w:val="0"/>
          <w:numId w:val="0"/>
        </w:numPr>
        <w:ind w:firstLine="640" w:firstLineChars="200"/>
        <w:outlineLvl w:val="9"/>
        <w:rPr>
          <w:rFonts w:hAnsi="仿宋" w:cs="宋体"/>
          <w:b w:val="0"/>
        </w:rPr>
      </w:pPr>
      <w:r>
        <w:rPr>
          <w:rFonts w:hint="eastAsia" w:hAnsi="仿宋" w:cs="宋体"/>
          <w:b w:val="0"/>
        </w:rPr>
        <w:t>本次评价设计了评价方案、评价指标体系，通过资料分析、调研、访谈满意度调查等方式形成评价结论，在与项目单位沟通后确定评价意见，并出具评价报告。　</w:t>
      </w:r>
    </w:p>
    <w:p>
      <w:pPr>
        <w:pStyle w:val="23"/>
        <w:numPr>
          <w:ilvl w:val="0"/>
          <w:numId w:val="2"/>
        </w:numPr>
        <w:ind w:firstLineChars="0"/>
        <w:rPr>
          <w:rFonts w:ascii="仿宋_GB2312" w:eastAsia="仿宋_GB2312" w:hAnsiTheme="majorHAnsi"/>
          <w:b w:val="0"/>
          <w:bCs w:val="0"/>
          <w:kern w:val="2"/>
        </w:rPr>
      </w:pPr>
      <w:bookmarkStart w:id="7" w:name="_Toc26401558"/>
      <w:r>
        <w:rPr>
          <w:rFonts w:hint="eastAsia" w:ascii="黑体" w:hAnsi="黑体"/>
        </w:rPr>
        <w:t>综合评价情况及评价结论</w:t>
      </w:r>
    </w:p>
    <w:p>
      <w:pPr>
        <w:pStyle w:val="23"/>
        <w:ind w:firstLine="640"/>
        <w:rPr>
          <w:rFonts w:ascii="仿宋_GB2312" w:eastAsia="仿宋_GB2312" w:hAnsiTheme="majorHAnsi"/>
          <w:b w:val="0"/>
          <w:bCs w:val="0"/>
          <w:kern w:val="2"/>
        </w:rPr>
      </w:pPr>
      <w:r>
        <w:rPr>
          <w:rFonts w:hint="eastAsia" w:ascii="仿宋_GB2312" w:eastAsia="仿宋_GB2312" w:hAnsiTheme="majorHAnsi"/>
          <w:b w:val="0"/>
          <w:bCs w:val="0"/>
          <w:kern w:val="2"/>
        </w:rPr>
        <w:t>经评价组通过实地调研、资料分析等方式，采用综合分析法、对项目的决策、管理、绩效进行的综合评价分析，项目得分为93分，评价结果为优，详见附件6。</w:t>
      </w:r>
    </w:p>
    <w:p>
      <w:pPr>
        <w:pStyle w:val="23"/>
        <w:numPr>
          <w:ilvl w:val="0"/>
          <w:numId w:val="2"/>
        </w:numPr>
        <w:ind w:firstLineChars="0"/>
      </w:pPr>
      <w:r>
        <w:rPr>
          <w:rFonts w:hint="eastAsia"/>
        </w:rPr>
        <w:t>绩效评价指标分析</w:t>
      </w:r>
      <w:bookmarkEnd w:id="7"/>
    </w:p>
    <w:p>
      <w:pPr>
        <w:pStyle w:val="19"/>
        <w:numPr>
          <w:ilvl w:val="0"/>
          <w:numId w:val="6"/>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8"/>
        <w:ind w:firstLine="640"/>
        <w:rPr>
          <w:rFonts w:ascii="仿宋_GB2312" w:hAnsi="仿宋" w:cs="宋体"/>
          <w:sz w:val="32"/>
          <w:szCs w:val="32"/>
        </w:rPr>
      </w:pPr>
      <w:r>
        <w:rPr>
          <w:rFonts w:hint="eastAsia" w:ascii="仿宋_GB2312" w:hAnsi="仿宋" w:cs="宋体"/>
          <w:sz w:val="32"/>
          <w:szCs w:val="32"/>
        </w:rPr>
        <w:t>本项目的立项符合相关法规政策及部门职责，依据是充分；项目是按照规定的程序申请设立；审批文件、材料符合相关要求；项目前期已经过必要的可行性研究、绩效评估、集体决策。</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与实际工作内容相关；项目预期产出效益和效果符合正常的业绩水平；与预算确定的项目资金量相匹配。将项目绩效目标细化分解为具体的绩效指标；通过清晰、可衡量的指标值予以体现；与项目目标任务数或计划数相对应。</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项目在资金投入方面，预算编制经过科学论证、有明确标准，资金额度与年度目标相适应，用以反映和考核项目预算编制的科学性、合理性情况。项目预算资金分配有测算依据，与地方实际相适应。</w:t>
      </w:r>
    </w:p>
    <w:p>
      <w:pPr>
        <w:pStyle w:val="19"/>
        <w:numPr>
          <w:ilvl w:val="0"/>
          <w:numId w:val="6"/>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在项目组织实施方面，项目单位已制定或具有相应的财务和业务管理制度，财务和业务管理制度合法、合规、完整。项目实施遵守相关法律法规和相关管理规定。</w:t>
      </w:r>
    </w:p>
    <w:p>
      <w:pPr>
        <w:pStyle w:val="19"/>
        <w:numPr>
          <w:ilvl w:val="0"/>
          <w:numId w:val="6"/>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项目产出情况</w:t>
      </w:r>
    </w:p>
    <w:p>
      <w:pPr>
        <w:spacing w:before="120"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项目产出数量为全年完成强制检定计量器具（≥</w:t>
      </w:r>
      <w:r>
        <w:rPr>
          <w:rFonts w:ascii="仿宋_GB2312" w:hAnsi="仿宋" w:eastAsia="仿宋_GB2312" w:cs="宋体"/>
          <w:sz w:val="32"/>
          <w:szCs w:val="32"/>
        </w:rPr>
        <w:t>*批次</w:t>
      </w:r>
      <w:r>
        <w:rPr>
          <w:rFonts w:hint="eastAsia" w:ascii="仿宋_GB2312" w:hAnsi="仿宋" w:eastAsia="仿宋_GB2312" w:cs="宋体"/>
          <w:sz w:val="32"/>
          <w:szCs w:val="32"/>
        </w:rPr>
        <w:t>），预期指标值为850批次，实际完成值为855批次；</w:t>
      </w:r>
    </w:p>
    <w:p>
      <w:pPr>
        <w:spacing w:before="120"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非强制检定计量器具（≥</w:t>
      </w:r>
      <w:r>
        <w:rPr>
          <w:rFonts w:ascii="仿宋_GB2312" w:hAnsi="仿宋" w:eastAsia="仿宋_GB2312" w:cs="宋体"/>
          <w:sz w:val="32"/>
          <w:szCs w:val="32"/>
        </w:rPr>
        <w:t>*批次）</w:t>
      </w:r>
      <w:r>
        <w:rPr>
          <w:rFonts w:hint="eastAsia" w:ascii="仿宋_GB2312" w:hAnsi="仿宋" w:eastAsia="仿宋_GB2312" w:cs="宋体"/>
          <w:sz w:val="32"/>
          <w:szCs w:val="32"/>
        </w:rPr>
        <w:t>；预期指标值为730台，实际完成值为730</w:t>
      </w:r>
      <w:r>
        <w:rPr>
          <w:rFonts w:ascii="仿宋_GB2312" w:hAnsi="仿宋" w:eastAsia="仿宋_GB2312" w:cs="宋体"/>
          <w:sz w:val="32"/>
          <w:szCs w:val="32"/>
        </w:rPr>
        <w:t>台</w:t>
      </w:r>
      <w:r>
        <w:rPr>
          <w:rFonts w:hint="eastAsia" w:ascii="仿宋_GB2312" w:hAnsi="仿宋" w:eastAsia="仿宋_GB2312" w:cs="宋体"/>
          <w:sz w:val="32"/>
          <w:szCs w:val="32"/>
        </w:rPr>
        <w:t>；指标达到预期目标。</w:t>
      </w:r>
    </w:p>
    <w:p>
      <w:pPr>
        <w:spacing w:before="120"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项目产出质量为非强制检定计量器具完成率（≥</w:t>
      </w:r>
      <w:r>
        <w:rPr>
          <w:rFonts w:ascii="仿宋_GB2312" w:hAnsi="仿宋" w:eastAsia="仿宋_GB2312" w:cs="宋体"/>
          <w:sz w:val="32"/>
          <w:szCs w:val="32"/>
        </w:rPr>
        <w:t>*%）</w:t>
      </w:r>
      <w:r>
        <w:rPr>
          <w:rFonts w:hint="eastAsia" w:ascii="仿宋_GB2312" w:hAnsi="仿宋" w:eastAsia="仿宋_GB2312" w:cs="宋体"/>
          <w:sz w:val="32"/>
          <w:szCs w:val="32"/>
        </w:rPr>
        <w:t>，预期指标值为</w:t>
      </w:r>
      <w:r>
        <w:rPr>
          <w:rFonts w:ascii="仿宋_GB2312" w:hAnsi="仿宋" w:eastAsia="仿宋_GB2312" w:cs="宋体"/>
          <w:sz w:val="32"/>
          <w:szCs w:val="32"/>
        </w:rPr>
        <w:t>9</w:t>
      </w:r>
      <w:r>
        <w:rPr>
          <w:rFonts w:hint="eastAsia" w:ascii="仿宋_GB2312" w:hAnsi="仿宋" w:eastAsia="仿宋_GB2312" w:cs="宋体"/>
          <w:sz w:val="32"/>
          <w:szCs w:val="32"/>
        </w:rPr>
        <w:t>5</w:t>
      </w:r>
      <w:r>
        <w:rPr>
          <w:rFonts w:ascii="仿宋_GB2312" w:hAnsi="仿宋" w:eastAsia="仿宋_GB2312" w:cs="宋体"/>
          <w:sz w:val="32"/>
          <w:szCs w:val="32"/>
        </w:rPr>
        <w:t>%</w:t>
      </w:r>
      <w:r>
        <w:rPr>
          <w:rFonts w:hint="eastAsia" w:ascii="仿宋_GB2312" w:hAnsi="仿宋" w:eastAsia="仿宋_GB2312" w:cs="宋体"/>
          <w:sz w:val="32"/>
          <w:szCs w:val="32"/>
        </w:rPr>
        <w:t>，实际完成值为</w:t>
      </w:r>
      <w:r>
        <w:rPr>
          <w:rFonts w:ascii="仿宋_GB2312" w:hAnsi="仿宋" w:eastAsia="仿宋_GB2312" w:cs="宋体"/>
          <w:sz w:val="32"/>
          <w:szCs w:val="32"/>
        </w:rPr>
        <w:t>9</w:t>
      </w:r>
      <w:r>
        <w:rPr>
          <w:rFonts w:hint="eastAsia" w:ascii="仿宋_GB2312" w:hAnsi="仿宋" w:eastAsia="仿宋_GB2312" w:cs="宋体"/>
          <w:sz w:val="32"/>
          <w:szCs w:val="32"/>
        </w:rPr>
        <w:t>5</w:t>
      </w:r>
      <w:r>
        <w:rPr>
          <w:rFonts w:ascii="仿宋_GB2312" w:hAnsi="仿宋" w:eastAsia="仿宋_GB2312" w:cs="宋体"/>
          <w:sz w:val="32"/>
          <w:szCs w:val="32"/>
        </w:rPr>
        <w:t>%</w:t>
      </w:r>
      <w:r>
        <w:rPr>
          <w:rFonts w:hint="eastAsia" w:ascii="仿宋_GB2312" w:hAnsi="仿宋" w:eastAsia="仿宋_GB2312" w:cs="宋体"/>
          <w:sz w:val="32"/>
          <w:szCs w:val="32"/>
        </w:rPr>
        <w:t>；指标达到预期目标。</w:t>
      </w:r>
    </w:p>
    <w:p>
      <w:pPr>
        <w:spacing w:before="120"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强制检定计量器具完成率（≥</w:t>
      </w:r>
      <w:r>
        <w:rPr>
          <w:rFonts w:ascii="仿宋_GB2312" w:hAnsi="仿宋" w:eastAsia="仿宋_GB2312" w:cs="宋体"/>
          <w:sz w:val="32"/>
          <w:szCs w:val="32"/>
        </w:rPr>
        <w:t>*%）</w:t>
      </w:r>
      <w:r>
        <w:rPr>
          <w:rFonts w:hint="eastAsia" w:ascii="仿宋_GB2312" w:hAnsi="仿宋" w:eastAsia="仿宋_GB2312" w:cs="宋体"/>
          <w:sz w:val="32"/>
          <w:szCs w:val="32"/>
        </w:rPr>
        <w:t>，预期指标值为</w:t>
      </w:r>
      <w:r>
        <w:rPr>
          <w:rFonts w:ascii="仿宋_GB2312" w:hAnsi="仿宋" w:eastAsia="仿宋_GB2312" w:cs="宋体"/>
          <w:sz w:val="32"/>
          <w:szCs w:val="32"/>
        </w:rPr>
        <w:t>9</w:t>
      </w:r>
      <w:r>
        <w:rPr>
          <w:rFonts w:hint="eastAsia" w:ascii="仿宋_GB2312" w:hAnsi="仿宋" w:eastAsia="仿宋_GB2312" w:cs="宋体"/>
          <w:sz w:val="32"/>
          <w:szCs w:val="32"/>
        </w:rPr>
        <w:t>5</w:t>
      </w:r>
      <w:r>
        <w:rPr>
          <w:rFonts w:ascii="仿宋_GB2312" w:hAnsi="仿宋" w:eastAsia="仿宋_GB2312" w:cs="宋体"/>
          <w:sz w:val="32"/>
          <w:szCs w:val="32"/>
        </w:rPr>
        <w:t>%</w:t>
      </w:r>
      <w:r>
        <w:rPr>
          <w:rFonts w:hint="eastAsia" w:ascii="仿宋_GB2312" w:hAnsi="仿宋" w:eastAsia="仿宋_GB2312" w:cs="宋体"/>
          <w:sz w:val="32"/>
          <w:szCs w:val="32"/>
        </w:rPr>
        <w:t>，实际完成值为</w:t>
      </w:r>
      <w:r>
        <w:rPr>
          <w:rFonts w:ascii="仿宋_GB2312" w:hAnsi="仿宋" w:eastAsia="仿宋_GB2312" w:cs="宋体"/>
          <w:sz w:val="32"/>
          <w:szCs w:val="32"/>
        </w:rPr>
        <w:t>95%</w:t>
      </w:r>
      <w:r>
        <w:rPr>
          <w:rFonts w:hint="eastAsia" w:ascii="仿宋_GB2312" w:hAnsi="仿宋" w:eastAsia="仿宋_GB2312" w:cs="宋体"/>
          <w:sz w:val="32"/>
          <w:szCs w:val="32"/>
        </w:rPr>
        <w:t>；指标达到预期目标。</w:t>
      </w:r>
    </w:p>
    <w:p>
      <w:pPr>
        <w:spacing w:before="120" w:beforeLines="50" w:line="600" w:lineRule="exact"/>
        <w:ind w:firstLine="660"/>
        <w:rPr>
          <w:rFonts w:ascii="仿宋_GB2312" w:hAnsi="仿宋" w:eastAsia="仿宋_GB2312" w:cs="宋体"/>
          <w:sz w:val="32"/>
          <w:szCs w:val="32"/>
        </w:rPr>
      </w:pPr>
      <w:r>
        <w:rPr>
          <w:rFonts w:hint="eastAsia" w:ascii="仿宋_GB2312" w:hAnsi="仿宋" w:eastAsia="仿宋_GB2312" w:cs="宋体"/>
          <w:sz w:val="32"/>
          <w:szCs w:val="32"/>
        </w:rPr>
        <w:t>指标达到预期目标，其中项目产出质量指标大幅度超过预期目标、项目产出质量超过预期目标的原因是加大了监督检查专项抽检工作，抽检产品的加强产品质量，人员检验对数据准确度的严格把关和控制等因素的影响。</w:t>
      </w:r>
    </w:p>
    <w:p>
      <w:pPr>
        <w:spacing w:before="120" w:beforeLines="50" w:line="600" w:lineRule="exact"/>
        <w:ind w:firstLine="660"/>
        <w:rPr>
          <w:rFonts w:ascii="仿宋_GB2312" w:eastAsia="仿宋_GB2312"/>
          <w:sz w:val="32"/>
          <w:szCs w:val="32"/>
        </w:rPr>
      </w:pPr>
      <w:r>
        <w:rPr>
          <w:rFonts w:hint="eastAsia" w:ascii="仿宋_GB2312" w:eastAsia="仿宋_GB2312"/>
          <w:sz w:val="32"/>
          <w:szCs w:val="32"/>
        </w:rPr>
        <w:t>项目产出时效有一项是为强制检定、非强制检定计量器具周期（≥</w:t>
      </w:r>
      <w:r>
        <w:rPr>
          <w:rFonts w:ascii="仿宋_GB2312" w:eastAsia="仿宋_GB2312"/>
          <w:sz w:val="32"/>
          <w:szCs w:val="32"/>
        </w:rPr>
        <w:t>*年）</w:t>
      </w:r>
      <w:r>
        <w:rPr>
          <w:rFonts w:hint="eastAsia" w:ascii="仿宋_GB2312" w:eastAsia="仿宋_GB2312"/>
          <w:sz w:val="32"/>
          <w:szCs w:val="32"/>
        </w:rPr>
        <w:t xml:space="preserve">，预期指标值为全年，实际完成值为全年，达到预期目标。    </w:t>
      </w:r>
    </w:p>
    <w:p>
      <w:pPr>
        <w:spacing w:before="120"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项目产出成本指标为肆项分别为：水电物业费（≤</w:t>
      </w:r>
      <w:r>
        <w:rPr>
          <w:rFonts w:ascii="仿宋_GB2312" w:eastAsia="仿宋_GB2312"/>
          <w:sz w:val="32"/>
          <w:szCs w:val="32"/>
        </w:rPr>
        <w:t>*万元）</w:t>
      </w:r>
      <w:r>
        <w:rPr>
          <w:rFonts w:hint="eastAsia" w:ascii="仿宋_GB2312" w:eastAsia="仿宋_GB2312"/>
          <w:sz w:val="32"/>
          <w:szCs w:val="32"/>
        </w:rPr>
        <w:t>，预期指标值为15万元，实际完成值为15万元；专用材料费（≤</w:t>
      </w:r>
      <w:r>
        <w:rPr>
          <w:rFonts w:ascii="仿宋_GB2312" w:eastAsia="仿宋_GB2312"/>
          <w:sz w:val="32"/>
          <w:szCs w:val="32"/>
        </w:rPr>
        <w:t>*万元）</w:t>
      </w:r>
      <w:r>
        <w:rPr>
          <w:rFonts w:hint="eastAsia" w:ascii="仿宋_GB2312" w:eastAsia="仿宋_GB2312"/>
          <w:sz w:val="32"/>
          <w:szCs w:val="32"/>
        </w:rPr>
        <w:t>，预期指标值为20万元，实际完成值为20万元；达到预期目标；人员差旅费（≤</w:t>
      </w:r>
      <w:r>
        <w:rPr>
          <w:rFonts w:ascii="仿宋_GB2312" w:eastAsia="仿宋_GB2312"/>
          <w:sz w:val="32"/>
          <w:szCs w:val="32"/>
        </w:rPr>
        <w:t>*万元）</w:t>
      </w:r>
      <w:r>
        <w:rPr>
          <w:rFonts w:hint="eastAsia" w:ascii="仿宋_GB2312" w:eastAsia="仿宋_GB2312"/>
          <w:sz w:val="32"/>
          <w:szCs w:val="32"/>
        </w:rPr>
        <w:t>，预期指标值为10万元，实际完成值为10万元；外聘劳务费（≤</w:t>
      </w:r>
      <w:r>
        <w:rPr>
          <w:rFonts w:ascii="仿宋_GB2312" w:eastAsia="仿宋_GB2312"/>
          <w:sz w:val="32"/>
          <w:szCs w:val="32"/>
        </w:rPr>
        <w:t>*万元）</w:t>
      </w:r>
      <w:r>
        <w:rPr>
          <w:rFonts w:hint="eastAsia" w:ascii="仿宋_GB2312" w:eastAsia="仿宋_GB2312"/>
          <w:sz w:val="32"/>
          <w:szCs w:val="32"/>
        </w:rPr>
        <w:t>，预期指标值为39万元，实际完成值为39万元；达到预期目标。</w:t>
      </w:r>
    </w:p>
    <w:p>
      <w:pPr>
        <w:pStyle w:val="19"/>
        <w:numPr>
          <w:ilvl w:val="0"/>
          <w:numId w:val="6"/>
        </w:numPr>
        <w:spacing w:before="120"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120" w:beforeLines="50" w:line="600" w:lineRule="exact"/>
        <w:ind w:firstLine="640" w:firstLineChars="200"/>
        <w:rPr>
          <w:rFonts w:ascii="仿宋_GB2312" w:hAnsi="仿宋" w:eastAsia="仿宋_GB2312" w:cs="宋体"/>
          <w:bCs/>
          <w:sz w:val="32"/>
          <w:szCs w:val="32"/>
        </w:rPr>
      </w:pPr>
      <w:r>
        <w:rPr>
          <w:rFonts w:ascii="仿宋_GB2312" w:hAnsi="仿宋" w:eastAsia="仿宋_GB2312" w:cs="宋体"/>
          <w:bCs/>
          <w:sz w:val="32"/>
          <w:szCs w:val="32"/>
        </w:rPr>
        <w:t xml:space="preserve"> </w:t>
      </w: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指标为提高</w:t>
      </w:r>
      <w:r>
        <w:rPr>
          <w:rFonts w:ascii="仿宋_GB2312" w:eastAsia="仿宋_GB2312"/>
          <w:sz w:val="32"/>
          <w:szCs w:val="32"/>
        </w:rPr>
        <w:t>12个县市计量数据公平公正</w:t>
      </w:r>
      <w:r>
        <w:rPr>
          <w:rFonts w:hint="eastAsia" w:ascii="仿宋_GB2312" w:eastAsia="仿宋_GB2312"/>
          <w:sz w:val="32"/>
          <w:szCs w:val="32"/>
        </w:rPr>
        <w:t>，预期指标值为持续提高，实际完成值为持续提高</w:t>
      </w:r>
      <w:r>
        <w:rPr>
          <w:rFonts w:hint="eastAsia" w:ascii="仿宋_GB2312" w:hAnsi="仿宋" w:eastAsia="仿宋_GB2312" w:cs="宋体"/>
          <w:bCs/>
          <w:sz w:val="32"/>
          <w:szCs w:val="32"/>
        </w:rPr>
        <w:t>，达到了预期目标；</w:t>
      </w:r>
      <w:r>
        <w:rPr>
          <w:rFonts w:hint="eastAsia" w:ascii="仿宋_GB2312" w:eastAsia="仿宋_GB2312"/>
          <w:sz w:val="32"/>
          <w:szCs w:val="32"/>
        </w:rPr>
        <w:t>可持续影响指标项</w:t>
      </w:r>
      <w:r>
        <w:rPr>
          <w:rFonts w:hint="eastAsia" w:ascii="仿宋_GB2312" w:hAnsi="仿宋" w:eastAsia="仿宋_GB2312" w:cs="宋体"/>
          <w:bCs/>
          <w:sz w:val="32"/>
          <w:szCs w:val="32"/>
        </w:rPr>
        <w:t>目：保证全年市场民生计量数据准确（年），</w:t>
      </w:r>
      <w:r>
        <w:rPr>
          <w:rFonts w:hint="eastAsia" w:ascii="仿宋_GB2312" w:eastAsia="仿宋_GB2312"/>
          <w:sz w:val="32"/>
          <w:szCs w:val="32"/>
        </w:rPr>
        <w:t>预期指标值为1年，实际完成值为1年</w:t>
      </w:r>
      <w:r>
        <w:rPr>
          <w:rFonts w:hint="eastAsia" w:ascii="仿宋_GB2312" w:hAnsi="仿宋" w:eastAsia="仿宋_GB2312" w:cs="宋体"/>
          <w:bCs/>
          <w:sz w:val="32"/>
          <w:szCs w:val="32"/>
        </w:rPr>
        <w:t>，达到了预期目标。</w:t>
      </w:r>
    </w:p>
    <w:p>
      <w:pPr>
        <w:spacing w:before="120"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w:t>
      </w:r>
      <w:r>
        <w:rPr>
          <w:rFonts w:hint="eastAsia" w:ascii="仿宋_GB2312" w:hAnsi="仿宋" w:eastAsia="仿宋_GB2312" w:cs="宋体"/>
          <w:bCs/>
          <w:color w:val="000000" w:themeColor="text1"/>
          <w:sz w:val="32"/>
          <w:szCs w:val="32"/>
          <w14:textFill>
            <w14:solidFill>
              <w14:schemeClr w14:val="tx1"/>
            </w14:solidFill>
          </w14:textFill>
        </w:rPr>
        <w:t>，</w:t>
      </w:r>
      <w:r>
        <w:rPr>
          <w:rFonts w:hint="eastAsia" w:ascii="仿宋_GB2312" w:hAnsi="仿宋" w:eastAsia="仿宋_GB2312" w:cs="宋体"/>
          <w:bCs/>
          <w:sz w:val="32"/>
          <w:szCs w:val="32"/>
        </w:rPr>
        <w:t>项目收益群众满意度为：送检查单位满意度（≥</w:t>
      </w:r>
      <w:r>
        <w:rPr>
          <w:rFonts w:ascii="仿宋_GB2312" w:hAnsi="仿宋" w:eastAsia="仿宋_GB2312" w:cs="宋体"/>
          <w:bCs/>
          <w:sz w:val="32"/>
          <w:szCs w:val="32"/>
        </w:rPr>
        <w:t>*%）</w:t>
      </w:r>
      <w:r>
        <w:rPr>
          <w:rFonts w:hint="eastAsia" w:ascii="仿宋_GB2312" w:eastAsia="仿宋_GB2312"/>
          <w:sz w:val="32"/>
          <w:szCs w:val="32"/>
        </w:rPr>
        <w:t>预期指标值为98%，实际完成值为98%，</w:t>
      </w:r>
      <w:r>
        <w:rPr>
          <w:rFonts w:hint="eastAsia" w:ascii="仿宋_GB2312" w:hAnsi="仿宋" w:eastAsia="仿宋_GB2312" w:cs="宋体"/>
          <w:bCs/>
          <w:sz w:val="32"/>
          <w:szCs w:val="32"/>
        </w:rPr>
        <w:t>达到了预期目标。</w:t>
      </w:r>
    </w:p>
    <w:p>
      <w:pPr>
        <w:pStyle w:val="23"/>
        <w:numPr>
          <w:ilvl w:val="0"/>
          <w:numId w:val="2"/>
        </w:numPr>
        <w:ind w:firstLineChars="0"/>
      </w:pPr>
      <w:r>
        <w:rPr>
          <w:rFonts w:hint="eastAsia" w:ascii="黑体" w:hAnsi="黑体"/>
        </w:rPr>
        <w:t>主要经验及做法、存在的问题及原因分析</w:t>
      </w:r>
    </w:p>
    <w:p>
      <w:pPr>
        <w:pStyle w:val="25"/>
        <w:numPr>
          <w:ilvl w:val="0"/>
          <w:numId w:val="7"/>
        </w:numPr>
        <w:ind w:left="0" w:firstLine="643" w:firstLineChars="200"/>
      </w:pPr>
      <w:r>
        <w:rPr>
          <w:rFonts w:hint="eastAsia"/>
        </w:rPr>
        <w:t>主要经验及做法</w:t>
      </w:r>
    </w:p>
    <w:p>
      <w:pPr>
        <w:adjustRightInd w:val="0"/>
        <w:snapToGrid w:val="0"/>
        <w:spacing w:line="560" w:lineRule="exact"/>
        <w:ind w:firstLine="640" w:firstLineChars="200"/>
        <w:rPr>
          <w:rFonts w:ascii="仿宋" w:hAnsi="仿宋" w:eastAsia="仿宋"/>
          <w:bCs/>
          <w:color w:val="000000"/>
          <w:spacing w:val="-4"/>
          <w:sz w:val="30"/>
          <w:szCs w:val="30"/>
        </w:rPr>
      </w:pPr>
      <w:r>
        <w:rPr>
          <w:rFonts w:hint="eastAsia" w:ascii="仿宋_GB2312" w:eastAsia="仿宋_GB2312"/>
          <w:sz w:val="32"/>
          <w:szCs w:val="32"/>
        </w:rPr>
        <w:t>本项目实施效果较好的原因主要是管理制度完善、责任落实到位，跟踪考核机制完善且运行有效，在项目实施过程中创新管理办法，采用通过预算绩效管理方式，总结了工作中的较好的经验使项目取得了很好的实施，很好的完成了年初既定的目标，较好的完成了全年工作任务</w:t>
      </w:r>
      <w:r>
        <w:rPr>
          <w:rFonts w:hint="eastAsia" w:ascii="仿宋" w:hAnsi="仿宋" w:eastAsia="仿宋"/>
          <w:bCs/>
          <w:color w:val="000000"/>
          <w:spacing w:val="-4"/>
          <w:sz w:val="30"/>
          <w:szCs w:val="30"/>
        </w:rPr>
        <w:t>。</w:t>
      </w:r>
    </w:p>
    <w:p>
      <w:pPr>
        <w:pStyle w:val="25"/>
        <w:numPr>
          <w:ilvl w:val="0"/>
          <w:numId w:val="7"/>
        </w:numPr>
        <w:ind w:left="0" w:firstLine="643" w:firstLineChars="200"/>
      </w:pPr>
      <w:r>
        <w:rPr>
          <w:rFonts w:hint="eastAsia"/>
        </w:rPr>
        <w:t>存在的问题及原因分析</w:t>
      </w:r>
    </w:p>
    <w:p>
      <w:pPr>
        <w:adjustRightInd w:val="0"/>
        <w:snapToGrid w:val="0"/>
        <w:spacing w:line="560" w:lineRule="exact"/>
        <w:ind w:firstLine="420" w:firstLineChars="200"/>
        <w:rPr>
          <w:rFonts w:ascii="仿宋_GB2312" w:eastAsia="仿宋_GB2312"/>
          <w:sz w:val="32"/>
          <w:szCs w:val="32"/>
        </w:rPr>
      </w:pPr>
      <w:r>
        <w:rPr>
          <w:rFonts w:hint="eastAsia"/>
        </w:rPr>
        <w:t xml:space="preserve"> </w:t>
      </w:r>
      <w:r>
        <w:t xml:space="preserve">   </w:t>
      </w:r>
      <w:r>
        <w:rPr>
          <w:rFonts w:hint="eastAsia" w:ascii="仿宋_GB2312" w:eastAsia="仿宋_GB2312"/>
          <w:sz w:val="32"/>
          <w:szCs w:val="32"/>
        </w:rPr>
        <w:t>通过预算绩效管理，发现了工作中存在的不足，如前期资金使用因设备检定原因未按期支付，导致了资金滞缓，影响了项目的进度。下半年虽然总体金额使用完毕，但是计划科目的金额与实际使用的科目金额存在了误差。</w:t>
      </w:r>
    </w:p>
    <w:p>
      <w:pPr>
        <w:pStyle w:val="23"/>
        <w:numPr>
          <w:ilvl w:val="0"/>
          <w:numId w:val="2"/>
        </w:numPr>
        <w:ind w:firstLineChars="0"/>
        <w:rPr>
          <w:rFonts w:ascii="黑体" w:hAnsi="黑体"/>
        </w:rPr>
      </w:pPr>
      <w:r>
        <w:rPr>
          <w:rFonts w:hint="eastAsia" w:ascii="黑体" w:hAnsi="黑体"/>
        </w:rPr>
        <w:t>有关建议</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年初做好资金计划，按照项目节点及时对照预算计划，做到及时支付、控制进度，使资金使用效益最大化，减少不必要的浪费，节约成本。</w:t>
      </w:r>
    </w:p>
    <w:p>
      <w:pPr>
        <w:pStyle w:val="23"/>
        <w:numPr>
          <w:ilvl w:val="0"/>
          <w:numId w:val="2"/>
        </w:numPr>
        <w:ind w:firstLineChars="0"/>
        <w:rPr>
          <w:rFonts w:ascii="黑体" w:hAnsi="黑体"/>
        </w:rPr>
      </w:pPr>
      <w:r>
        <w:rPr>
          <w:rFonts w:hint="eastAsia" w:ascii="黑体" w:hAnsi="黑体"/>
        </w:rPr>
        <w:t>其他需要说明的问题</w:t>
      </w:r>
    </w:p>
    <w:p>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无其他说明内容。</w:t>
      </w:r>
    </w:p>
    <w:p>
      <w:pPr>
        <w:spacing w:before="120" w:beforeLines="50" w:line="600" w:lineRule="exact"/>
        <w:rPr>
          <w:rFonts w:ascii="仿宋_GB2312" w:hAnsi="仿宋" w:eastAsia="仿宋_GB2312" w:cs="宋体"/>
          <w:sz w:val="32"/>
          <w:szCs w:val="32"/>
        </w:rPr>
      </w:pP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附件1：喀什地区计量检定成本性项目支出绩效目标申报表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附件2：喀什地区计量检定成本性项目支出项目报表）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3：</w:t>
      </w:r>
      <w:r>
        <w:rPr>
          <w:rFonts w:hint="eastAsia" w:ascii="仿宋_GB2312" w:hAnsi="仿宋" w:eastAsia="仿宋_GB2312" w:cs="宋体"/>
          <w:sz w:val="32"/>
          <w:szCs w:val="32"/>
        </w:rPr>
        <w:t>喀什地区计量检定</w:t>
      </w:r>
      <w:r>
        <w:rPr>
          <w:rFonts w:ascii="仿宋_GB2312" w:hAnsi="仿宋" w:eastAsia="仿宋_GB2312" w:cs="宋体"/>
          <w:sz w:val="32"/>
          <w:szCs w:val="32"/>
        </w:rPr>
        <w:t>成本性项目支出绩效自评表</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附件4：喀什地区计量检定所喀什地区计量检定成本性项目支出成本性项目支出绩效评价指标体系</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120"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w:t>
      </w:r>
      <w:r>
        <w:rPr>
          <w:rFonts w:ascii="仿宋_GB2312" w:hAnsi="仿宋" w:eastAsia="仿宋_GB2312" w:cs="宋体"/>
          <w:sz w:val="32"/>
          <w:szCs w:val="32"/>
        </w:rPr>
        <w:t>6：喀什地区</w:t>
      </w:r>
      <w:r>
        <w:rPr>
          <w:rFonts w:hint="eastAsia" w:ascii="仿宋_GB2312" w:hAnsi="仿宋" w:eastAsia="仿宋_GB2312" w:cs="宋体"/>
          <w:sz w:val="32"/>
          <w:szCs w:val="32"/>
        </w:rPr>
        <w:t>计量所计量检定</w:t>
      </w:r>
      <w:r>
        <w:rPr>
          <w:rFonts w:ascii="仿宋_GB2312" w:hAnsi="仿宋" w:eastAsia="仿宋_GB2312" w:cs="宋体"/>
          <w:sz w:val="32"/>
          <w:szCs w:val="32"/>
        </w:rPr>
        <w:t>成本性项目支出绩效评价评分表</w:t>
      </w:r>
    </w:p>
    <w:p>
      <w:pPr>
        <w:spacing w:before="120" w:beforeLines="50" w:line="600" w:lineRule="exact"/>
        <w:ind w:firstLine="640" w:firstLineChars="200"/>
        <w:rPr>
          <w:rFonts w:ascii="仿宋_GB2312" w:hAnsi="仿宋" w:eastAsia="仿宋_GB2312" w:cs="宋体"/>
          <w:sz w:val="32"/>
          <w:szCs w:val="32"/>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715"/>
    <w:rsid w:val="000126F9"/>
    <w:rsid w:val="00017184"/>
    <w:rsid w:val="00022413"/>
    <w:rsid w:val="00030A74"/>
    <w:rsid w:val="00036CFC"/>
    <w:rsid w:val="00037F93"/>
    <w:rsid w:val="00042126"/>
    <w:rsid w:val="000560FF"/>
    <w:rsid w:val="000B56C7"/>
    <w:rsid w:val="000D232C"/>
    <w:rsid w:val="000E0C7B"/>
    <w:rsid w:val="000F2007"/>
    <w:rsid w:val="00100A64"/>
    <w:rsid w:val="00100AA9"/>
    <w:rsid w:val="00111BEB"/>
    <w:rsid w:val="001143D6"/>
    <w:rsid w:val="0012798F"/>
    <w:rsid w:val="001323B2"/>
    <w:rsid w:val="00132553"/>
    <w:rsid w:val="00151AF1"/>
    <w:rsid w:val="00174F3A"/>
    <w:rsid w:val="0018169D"/>
    <w:rsid w:val="00183D96"/>
    <w:rsid w:val="00193649"/>
    <w:rsid w:val="0019720C"/>
    <w:rsid w:val="001A1902"/>
    <w:rsid w:val="001A4F49"/>
    <w:rsid w:val="001A4FFA"/>
    <w:rsid w:val="001A527D"/>
    <w:rsid w:val="001B2003"/>
    <w:rsid w:val="001B5B44"/>
    <w:rsid w:val="001D5FF2"/>
    <w:rsid w:val="001D6F2E"/>
    <w:rsid w:val="00203C2A"/>
    <w:rsid w:val="00203FB6"/>
    <w:rsid w:val="00233ECE"/>
    <w:rsid w:val="002342F1"/>
    <w:rsid w:val="002458D7"/>
    <w:rsid w:val="00285AB4"/>
    <w:rsid w:val="002A1BF4"/>
    <w:rsid w:val="002B3A72"/>
    <w:rsid w:val="002B5702"/>
    <w:rsid w:val="002C0745"/>
    <w:rsid w:val="002C6231"/>
    <w:rsid w:val="002F4FA3"/>
    <w:rsid w:val="002F7CDC"/>
    <w:rsid w:val="00306466"/>
    <w:rsid w:val="00324E56"/>
    <w:rsid w:val="00331AF1"/>
    <w:rsid w:val="003468D7"/>
    <w:rsid w:val="00351F8F"/>
    <w:rsid w:val="00363E52"/>
    <w:rsid w:val="00382736"/>
    <w:rsid w:val="003A04D1"/>
    <w:rsid w:val="003C252A"/>
    <w:rsid w:val="003C327E"/>
    <w:rsid w:val="003C4B3D"/>
    <w:rsid w:val="003C6E7F"/>
    <w:rsid w:val="003E0E95"/>
    <w:rsid w:val="003F0072"/>
    <w:rsid w:val="003F1C70"/>
    <w:rsid w:val="003F2E47"/>
    <w:rsid w:val="00401D3D"/>
    <w:rsid w:val="00403544"/>
    <w:rsid w:val="004115AA"/>
    <w:rsid w:val="004221F1"/>
    <w:rsid w:val="00434C92"/>
    <w:rsid w:val="00443C47"/>
    <w:rsid w:val="00452560"/>
    <w:rsid w:val="004654BA"/>
    <w:rsid w:val="00467DBB"/>
    <w:rsid w:val="00483939"/>
    <w:rsid w:val="004A0587"/>
    <w:rsid w:val="004C56AB"/>
    <w:rsid w:val="004D088E"/>
    <w:rsid w:val="004D4F06"/>
    <w:rsid w:val="004E41BA"/>
    <w:rsid w:val="004F3681"/>
    <w:rsid w:val="00512093"/>
    <w:rsid w:val="005149C9"/>
    <w:rsid w:val="005225F1"/>
    <w:rsid w:val="00531253"/>
    <w:rsid w:val="005333A1"/>
    <w:rsid w:val="00540B36"/>
    <w:rsid w:val="00555E02"/>
    <w:rsid w:val="00563E06"/>
    <w:rsid w:val="005653D5"/>
    <w:rsid w:val="0058554B"/>
    <w:rsid w:val="00596DDF"/>
    <w:rsid w:val="005B6EAB"/>
    <w:rsid w:val="005D7AC7"/>
    <w:rsid w:val="005F342D"/>
    <w:rsid w:val="006074CC"/>
    <w:rsid w:val="00630E69"/>
    <w:rsid w:val="006362B2"/>
    <w:rsid w:val="00653A49"/>
    <w:rsid w:val="0065420A"/>
    <w:rsid w:val="00655AAB"/>
    <w:rsid w:val="006869EC"/>
    <w:rsid w:val="00694A44"/>
    <w:rsid w:val="006A37E8"/>
    <w:rsid w:val="006D0AA4"/>
    <w:rsid w:val="006E50F1"/>
    <w:rsid w:val="006F2513"/>
    <w:rsid w:val="006F64CB"/>
    <w:rsid w:val="0071759F"/>
    <w:rsid w:val="007253B3"/>
    <w:rsid w:val="00731D46"/>
    <w:rsid w:val="00734BAD"/>
    <w:rsid w:val="00752C57"/>
    <w:rsid w:val="00770C24"/>
    <w:rsid w:val="00781733"/>
    <w:rsid w:val="007A051B"/>
    <w:rsid w:val="007C5CF9"/>
    <w:rsid w:val="007D340B"/>
    <w:rsid w:val="007E6392"/>
    <w:rsid w:val="007E724B"/>
    <w:rsid w:val="007F2093"/>
    <w:rsid w:val="007F3C25"/>
    <w:rsid w:val="007F4D14"/>
    <w:rsid w:val="00811F2D"/>
    <w:rsid w:val="00815938"/>
    <w:rsid w:val="008226BA"/>
    <w:rsid w:val="00827DA6"/>
    <w:rsid w:val="00835103"/>
    <w:rsid w:val="00854416"/>
    <w:rsid w:val="00866648"/>
    <w:rsid w:val="00866F54"/>
    <w:rsid w:val="00883FF2"/>
    <w:rsid w:val="00891146"/>
    <w:rsid w:val="0089293E"/>
    <w:rsid w:val="00893E6C"/>
    <w:rsid w:val="008A08C9"/>
    <w:rsid w:val="008A2D29"/>
    <w:rsid w:val="008D7BC7"/>
    <w:rsid w:val="008F6CAA"/>
    <w:rsid w:val="0090104C"/>
    <w:rsid w:val="00982B10"/>
    <w:rsid w:val="00997630"/>
    <w:rsid w:val="009A0D72"/>
    <w:rsid w:val="009B09DC"/>
    <w:rsid w:val="009B24F3"/>
    <w:rsid w:val="009C0267"/>
    <w:rsid w:val="009C2899"/>
    <w:rsid w:val="009E5354"/>
    <w:rsid w:val="009F43A9"/>
    <w:rsid w:val="00A1033F"/>
    <w:rsid w:val="00A10F1E"/>
    <w:rsid w:val="00A12A0C"/>
    <w:rsid w:val="00A20A21"/>
    <w:rsid w:val="00A365D5"/>
    <w:rsid w:val="00A41DB8"/>
    <w:rsid w:val="00A43094"/>
    <w:rsid w:val="00A434C1"/>
    <w:rsid w:val="00A53361"/>
    <w:rsid w:val="00A5786D"/>
    <w:rsid w:val="00A60191"/>
    <w:rsid w:val="00A643AA"/>
    <w:rsid w:val="00A70F32"/>
    <w:rsid w:val="00A73CE4"/>
    <w:rsid w:val="00A74F08"/>
    <w:rsid w:val="00A81609"/>
    <w:rsid w:val="00A85237"/>
    <w:rsid w:val="00AB07C5"/>
    <w:rsid w:val="00AE1FDF"/>
    <w:rsid w:val="00AE3042"/>
    <w:rsid w:val="00AF1C43"/>
    <w:rsid w:val="00AF251B"/>
    <w:rsid w:val="00B03B29"/>
    <w:rsid w:val="00B16C8F"/>
    <w:rsid w:val="00B309F5"/>
    <w:rsid w:val="00B32FA4"/>
    <w:rsid w:val="00B36F46"/>
    <w:rsid w:val="00B47B13"/>
    <w:rsid w:val="00B53BE4"/>
    <w:rsid w:val="00B6063F"/>
    <w:rsid w:val="00B60E9D"/>
    <w:rsid w:val="00B9042A"/>
    <w:rsid w:val="00BA0855"/>
    <w:rsid w:val="00BA65AD"/>
    <w:rsid w:val="00BC7696"/>
    <w:rsid w:val="00C0325B"/>
    <w:rsid w:val="00C2671D"/>
    <w:rsid w:val="00C2716D"/>
    <w:rsid w:val="00C27A32"/>
    <w:rsid w:val="00C563AA"/>
    <w:rsid w:val="00C6500D"/>
    <w:rsid w:val="00C71FF0"/>
    <w:rsid w:val="00C77259"/>
    <w:rsid w:val="00C97E2D"/>
    <w:rsid w:val="00CD43D5"/>
    <w:rsid w:val="00CD782F"/>
    <w:rsid w:val="00D043D7"/>
    <w:rsid w:val="00D117FB"/>
    <w:rsid w:val="00D1649D"/>
    <w:rsid w:val="00D22D9C"/>
    <w:rsid w:val="00D23C2E"/>
    <w:rsid w:val="00D61EC8"/>
    <w:rsid w:val="00D93516"/>
    <w:rsid w:val="00DA7F4C"/>
    <w:rsid w:val="00DC5F94"/>
    <w:rsid w:val="00DE152F"/>
    <w:rsid w:val="00DE293B"/>
    <w:rsid w:val="00DF6C1D"/>
    <w:rsid w:val="00E00E33"/>
    <w:rsid w:val="00E05626"/>
    <w:rsid w:val="00E1760D"/>
    <w:rsid w:val="00E25B2F"/>
    <w:rsid w:val="00E373A5"/>
    <w:rsid w:val="00E43171"/>
    <w:rsid w:val="00E66A4D"/>
    <w:rsid w:val="00E72B1C"/>
    <w:rsid w:val="00E96169"/>
    <w:rsid w:val="00EC318F"/>
    <w:rsid w:val="00F0780F"/>
    <w:rsid w:val="00F14F1D"/>
    <w:rsid w:val="00F16D54"/>
    <w:rsid w:val="00F42546"/>
    <w:rsid w:val="00F6015C"/>
    <w:rsid w:val="00F64009"/>
    <w:rsid w:val="00F72DC0"/>
    <w:rsid w:val="00F75715"/>
    <w:rsid w:val="00FB2E2F"/>
    <w:rsid w:val="00FD300A"/>
    <w:rsid w:val="00FE1FD9"/>
    <w:rsid w:val="00FF137F"/>
    <w:rsid w:val="00FF6959"/>
    <w:rsid w:val="00FF6C14"/>
    <w:rsid w:val="00FF7C0D"/>
    <w:rsid w:val="01BE6316"/>
    <w:rsid w:val="217F35A7"/>
    <w:rsid w:val="24E73B1F"/>
    <w:rsid w:val="26F03C06"/>
    <w:rsid w:val="2A547683"/>
    <w:rsid w:val="30A969F1"/>
    <w:rsid w:val="53854E68"/>
    <w:rsid w:val="57964064"/>
    <w:rsid w:val="5FAD16FB"/>
    <w:rsid w:val="667765BF"/>
    <w:rsid w:val="6F2B02B1"/>
    <w:rsid w:val="7775238E"/>
    <w:rsid w:val="7A8638D9"/>
    <w:rsid w:val="7AD65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Date"/>
    <w:basedOn w:val="1"/>
    <w:next w:val="1"/>
    <w:link w:val="37"/>
    <w:semiHidden/>
    <w:unhideWhenUsed/>
    <w:uiPriority w:val="99"/>
    <w:pPr>
      <w:ind w:left="100" w:leftChars="2500"/>
    </w:p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99"/>
    <w:rPr>
      <w:rFonts w:cs="Times New Roman"/>
      <w:b/>
      <w:bCs/>
    </w:rPr>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customStyle="1" w:styleId="18">
    <w:name w:val="标题 1 Char"/>
    <w:basedOn w:val="15"/>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5"/>
    <w:link w:val="9"/>
    <w:qFormat/>
    <w:uiPriority w:val="99"/>
    <w:rPr>
      <w:sz w:val="18"/>
      <w:szCs w:val="18"/>
    </w:rPr>
  </w:style>
  <w:style w:type="character" w:customStyle="1" w:styleId="21">
    <w:name w:val="页脚 Char"/>
    <w:basedOn w:val="15"/>
    <w:link w:val="8"/>
    <w:qFormat/>
    <w:uiPriority w:val="99"/>
    <w:rPr>
      <w:sz w:val="18"/>
      <w:szCs w:val="18"/>
    </w:rPr>
  </w:style>
  <w:style w:type="character" w:customStyle="1" w:styleId="22">
    <w:name w:val="批注框文本 Char"/>
    <w:basedOn w:val="15"/>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5"/>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5"/>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5"/>
    <w:link w:val="35"/>
    <w:unhideWhenUsed/>
    <w:qFormat/>
    <w:uiPriority w:val="0"/>
    <w:rPr>
      <w:rFonts w:ascii="MingLiU" w:hAnsi="MingLiU" w:eastAsia="MingLiU" w:cs="MingLiU"/>
      <w:sz w:val="20"/>
      <w:szCs w:val="20"/>
      <w:lang w:val="zh-TW" w:eastAsia="zh-TW" w:bidi="zh-TW"/>
    </w:rPr>
  </w:style>
  <w:style w:type="character" w:customStyle="1" w:styleId="37">
    <w:name w:val="日期 Char"/>
    <w:basedOn w:val="15"/>
    <w:link w:val="6"/>
    <w:semiHidden/>
    <w:qFormat/>
    <w:uiPriority w:val="99"/>
    <w:rPr>
      <w:rFonts w:asciiTheme="minorHAnsi" w:hAnsiTheme="minorHAnsi" w:eastAsiaTheme="minorEastAsia" w:cstheme="minorBid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EC33E3-4A30-4C0E-8BB8-EF00DCDADE3F}">
  <ds:schemaRefs/>
</ds:datastoreItem>
</file>

<file path=docProps/app.xml><?xml version="1.0" encoding="utf-8"?>
<Properties xmlns="http://schemas.openxmlformats.org/officeDocument/2006/extended-properties" xmlns:vt="http://schemas.openxmlformats.org/officeDocument/2006/docPropsVTypes">
  <Template>Normal</Template>
  <Company>www.hp.com</Company>
  <Pages>10</Pages>
  <Words>595</Words>
  <Characters>3398</Characters>
  <Lines>28</Lines>
  <Paragraphs>7</Paragraphs>
  <TotalTime>2</TotalTime>
  <ScaleCrop>false</ScaleCrop>
  <LinksUpToDate>false</LinksUpToDate>
  <CharactersWithSpaces>3986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2020-04-22T08:38:00Z</dcterms:created>
  <dc:creator>ThinkPad</dc:creator>
  <cp:lastModifiedBy>Apple</cp:lastModifiedBy>
  <dcterms:modified xsi:type="dcterms:W3CDTF">2020-09-05T09:42:01Z</dcterms:modified>
  <dc:title>新疆普天鹏华商务信息咨询有限公司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