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12B6D321" w14:textId="0D5360EF"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新疆喀什地区商务局2019年度部门决算</w:t>
      </w:r>
    </w:p>
    <w:p w14:paraId="0ACE5469" w14:textId="77777777"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EA656B">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EA656B">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EA656B">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EA656B">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EA656B">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EA656B">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贯彻执行国家国内外贸易、国际经济合作的发展战略、政策，贯彻执行国内外贸易、对外经济合作、外商投资、对外投资的地方性法规、规章和有关政策措施并组织实施，研究“一带一路”建设、区域经济合作、现代流通方式的发展趋势和流通体制改革并提出建议。2、协调推进流通产业结构调整，指导流通企业改革，商贸服务业和社区商业发展，提出促进商贸中小企业发展的政策建议，推动流通标准化和连锁经营、商业特许经营、物流配送、电子商务等现代流通方式的发展。3、拟定贸易发展规划，促进城乡市场发展，执行引导国内外资金投向市场体系建设的政策，指导大宗产品批发市场规划和城市商业网点规划、商业体系建设工作，推进农村市场体系建设，完善农村现代流通网络；建立市场诚信公共服务平台，按有关规定对特殊流通行业进行监督管理。4、负责组织实施重要消费品市场调控和重要生产资料流通管理，监测分析市场运行、商品供求状况，调查分析商品价格信息并进行预测预警和信息引导；按有关规定对成品油流通环节进行监督管理5、组织实施国家进出口商品、加工贸易管理办法和进出口管理商品、技术目录，拟定促进外贸增长方式转变的政策措施；会同有关部门执行大宗进出口商品政策，指导贸易促进活动和外贸促进体系建设。6、组织实施国家对外技术贸易、出口管制以及鼓励技术和成套设备进出口的贸易政策，推进地方进出口贸易标准化工作；依法监督技术引进、设备进口、国家限制出口技术的工作。7、牵头拟定服务贸易发展规划并开展相关工作；会同有关部门制定促进服务出口和服务外包的规划、政策并组织实施，推动服务外包平台建设。8、贯彻执行国家有关边境贸易的各项政策并组织实施；负责边境贸易有关经营资质的管理工作；负责边民互市贸易的相关协调工作；推进市场采购贸易方式试点；承担有关周边国家经贸合作地方协调机制的工作，推动协调喀什企业同周边国家及中东欧国家多方面合作交流。9、组织协调反倾销、反补贴、保障措施及其他与进出口公平贸易相关的工作；指导协调产业安全应对工作及国外对地区出口商品的反倾销、反补贴、保障措施的应诉工作。10、贯彻执行外商投资企业法律法规；指导外商投资工作；拟定地方性外商投资政策并组织实施；负责权限内外商投资企业设立及变更初审；依法监督检查外商投资企业执行有关法律法规规章、合同章程的情况并协调解决有关问题；联系经济技术开发区、边境经济合作区、跨境经贸合作区的有关工作。11、负责对外经济合作工作；贯彻执行对外经济合作政策，依法管理和监督对外承包工程、对外劳务合作等，执行我国公民出境就业管理政策，负责协调外派劳务人员和境外就业人员的权益保护工作；负责境内企业对外投资开办企业备案（金融企业除外）初审。12、制定电子商务发展规划和政策措施并组织实施；指导企业信息化及运用电子商务开拓国内外市场；负责建立电子商务行业统计和评价体系，牵头推进电子商务支撑服务体系发展。</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新疆喀什地区商务局2019年度，实有人数40人，其中：在职人员31人，离休人员0人，退休人员9人。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从部门决算单位构成看，新疆喀什地区商务局部门决算包括：新疆喀什地区商务局决算。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653.63万元，与上年相比，增加6.24万元，增长0.96%，主要原因是：大力发展外贸经济，新增3个项目。本年支出749.38万元，与上年相比，减少8.58万元，下降1.13%，主要原因是：本年援疆资金减少，相应的支出减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2019年度本年收入653.63万元，其中：财政拨款收入653.63万元，占100%；上级补助收入0万元，占0%；事业收入0万元，占0%；经营收入0万元，占0%；附属单位上缴收入0万元，占0%；其他收入0万元，占0%。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2019年度本年支出749.38万元，其中：基本支出550.33万元，占73.44%；项目支出199.05万元，占26.56%；上缴上级支出0万元，占0%；经营支出0万元，占0%；对附属单位补助支出0万元，占0%。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653.63万元，与上年相比，增加33.24万元，增长5.36%，主要原因是：1、人员经费增加。2019年2月机构改革，局机关新增4人；2019年4月追加3名退休干部职业年金；2、大力发展外贸经济，年中新增3个项目。财政拨款支出653.63万元，与上年相比，增加19.22万元，增长3.03%，主要原因是：1、人员经费增加。2019年2月机构改革，局机关新增4人；2019年4月追加3名退休干部职业年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593.85万元，决算数653.63万元，预决算差异率10.07%，主要原因是：大力发展外贸经济，新增3个项目。财政拨款支出年初预算数593.85万元，决算数653.63万元，预决算差异率10.07%，主要原因是：1、人员经费增加。2019年2月机构改革，局机关新增4人；2019年4月追加3名退休干部职业年金；2、大力发展外贸经济，年中新增3个项目。</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2019年度一般公共预算财政拨款支出653.63万元。按功能分类科目项级科目公开，其中：</w:t>
      </w:r>
    </w:p>
    <w:p>
      <w:pPr>
        <w:ind w:firstLine="480"/>
        <w:jc w:val="both"/>
      </w:pPr>
      <w:r>
        <w:rPr>
          <w:rFonts w:ascii="仿宋_GB2312" w:hAnsi="仿宋_GB2312" w:cs="仿宋_GB2312" w:eastAsia="仿宋_GB2312"/>
          <w:b w:val="false"/>
          <w:sz w:val="32"/>
        </w:rPr>
        <w:t xml:space="preserve">   2011301行政运行支出457.62万元；</w:t>
      </w:r>
    </w:p>
    <w:p>
      <w:pPr>
        <w:ind w:firstLine="480"/>
        <w:jc w:val="both"/>
      </w:pPr>
      <w:r>
        <w:rPr>
          <w:rFonts w:ascii="仿宋_GB2312" w:hAnsi="仿宋_GB2312" w:cs="仿宋_GB2312" w:eastAsia="仿宋_GB2312"/>
          <w:b w:val="false"/>
          <w:sz w:val="32"/>
        </w:rPr>
        <w:t xml:space="preserve">   2011302一般行政管理事务支出72.39万元；</w:t>
      </w:r>
    </w:p>
    <w:p>
      <w:pPr>
        <w:ind w:firstLine="480"/>
        <w:jc w:val="both"/>
      </w:pPr>
      <w:r>
        <w:rPr>
          <w:rFonts w:ascii="仿宋_GB2312" w:hAnsi="仿宋_GB2312" w:cs="仿宋_GB2312" w:eastAsia="仿宋_GB2312"/>
          <w:b w:val="false"/>
          <w:sz w:val="32"/>
        </w:rPr>
        <w:t xml:space="preserve">   2011399其他商贸事务支出16.92万元；</w:t>
      </w:r>
    </w:p>
    <w:p>
      <w:pPr>
        <w:ind w:firstLine="480"/>
        <w:jc w:val="both"/>
      </w:pPr>
      <w:r>
        <w:rPr>
          <w:rFonts w:ascii="仿宋_GB2312" w:hAnsi="仿宋_GB2312" w:cs="仿宋_GB2312" w:eastAsia="仿宋_GB2312"/>
          <w:b w:val="false"/>
          <w:sz w:val="32"/>
        </w:rPr>
        <w:t xml:space="preserve">   2080505机关事业单位基本养老保险缴费支出48.64万元；</w:t>
      </w:r>
    </w:p>
    <w:p>
      <w:pPr>
        <w:ind w:firstLine="480"/>
        <w:jc w:val="both"/>
      </w:pPr>
      <w:r>
        <w:rPr>
          <w:rFonts w:ascii="仿宋_GB2312" w:hAnsi="仿宋_GB2312" w:cs="仿宋_GB2312" w:eastAsia="仿宋_GB2312"/>
          <w:b w:val="false"/>
          <w:sz w:val="32"/>
        </w:rPr>
        <w:t xml:space="preserve">   2080506机关事业单位职业年金缴费支出8.63万元；</w:t>
      </w:r>
    </w:p>
    <w:p>
      <w:pPr>
        <w:ind w:firstLine="480"/>
        <w:jc w:val="both"/>
      </w:pPr>
      <w:r>
        <w:rPr>
          <w:rFonts w:ascii="仿宋_GB2312" w:hAnsi="仿宋_GB2312" w:cs="仿宋_GB2312" w:eastAsia="仿宋_GB2312"/>
          <w:b w:val="false"/>
          <w:sz w:val="32"/>
        </w:rPr>
        <w:t xml:space="preserve">   2210201住房公积金支出35.44万元；</w:t>
      </w:r>
    </w:p>
    <w:p>
      <w:pPr>
        <w:ind w:firstLine="480"/>
        <w:jc w:val="both"/>
      </w:pPr>
      <w:r>
        <w:rPr>
          <w:rFonts w:ascii="仿宋_GB2312" w:hAnsi="仿宋_GB2312" w:cs="仿宋_GB2312" w:eastAsia="仿宋_GB2312"/>
          <w:b w:val="false"/>
          <w:sz w:val="32"/>
        </w:rPr>
        <w:t xml:space="preserve">   2299901其他支出14万元。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2019年度一般公共预算财政拨款基本支出550.33万元，其中：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525.85万元，包括：基本工资、津贴补贴、奖金、机关事业单位基本养老保险缴费、职业年金缴费、职工基本医疗保险缴费、公务员医疗补助缴费、其他社会保障缴费、住房公积金、退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公用经费24.47万元，包括：办公费、印刷费、手续费、水费、取暖费、差旅费、会议费、培训费、劳务费、公务用车运行维护费、其他交通费用、其他商品和服务支出。</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4.20万元，比上年增加0万元，增长0%，主要原因是与上年相比无变动，与上年一致。其中，因公出国（境）费支出0万元，占0%，比上年增加0万元，增长0%，主要原因是与上年相比无变动，与上年一致；公务用车购置及运行维护费支出4.20万元，占100%，比上年增加0万元，增长0%，主要原因是与上年相比无变动，与上年一致；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4.20万元，其中，公务用车购置费0万元，公务用车运行维护费4.20万元。公务用车运行维护费开支内容包括汽车油料、维护费、过路费、车辆保险等。公务用车购置数0辆，公务用车保有量2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4.20万元，决算数4.20万元，预决算差异率0%，主要原因是：与年初预算数相比无变化。其中：因公出国（境）费预算数0万元，决算数0万元，预决算差异率0%，主要原因是：预算未安排，无此项支出；公务用车购置费预算数0万元，决算数0万元，预决算差异率0%，主要原因是：预算未安排，无此项支出；公务用车运行费预算数4.20万元，决算数4.20万元，预决算差异率0%，主要原因是：与年初预算数相比无变化；公务接待费预算数0万元，决算数0万元，预决算差异率0%，主要原因是：预算未安排，无此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商务局机关运行经费支出24.47万元，比上年减少13.59万元，降低35.71%，主要原因是1、完善局机关财务制度规定，严格控制机关运行经费。2、2019年5月按照地委的安排单位地址由喀什地区行署院内搬迁至喀什地直机关综合办公区，办公用热总面积由765平方米变更为668.15平方米，导致机关取暖费减少。</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2019年度政府采购支出总额4.20万元，其中：政府采购货物支出3.21万元、政府采购工程支出0万元、政府采购服务支出0.99万元。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授予中小企业合同金额4.20万元，占政府采购支出总额的100%，其中：授予小微企业合同金额0万元，占政府采购支出总额的0%。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64（平方米），价值8万元。车辆2辆，价值81.10万元，其中：副部（省）级及以上领导用车0辆、主要领导干部用车0辆、机要通信用车0辆、应急保障用车0辆、执法执勤用车0辆、特种专业技术用车0辆、离退休干部用车0辆、其他用车2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lastRenderedPageBreak/>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9个，共涉及资金80.45万元。预算绩效管理取得的成效：一是部门年度任务在预算资金额度内完成，并通过规范的招投标及严格的资金管理及项目管理及其他创新的管理措施实现了资金的节约。三公经费是在预算范围内的开支，开支范围与上年相比无变化；二是各项工作计划能按预期计划按时完成，效益按预期时间产生；三是经济效益、社会效益，可持续影响指标均能达到预期指标。发现的问题及原因：通过预算绩效管理，发现了工作中存在的不足，如前期资金测算不够精准，导致后期对该项目进行了二次资金追加，向地区财政局申报的追加项目绩效目标申报表和事前评估报告等多条指标设置重复，不利于财政资金的监管。下一步改进措施：年初做好资金计划，按照项目进度及时拨付资金，使资金使用效益最大化，减少不必要的浪费，节约成本。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w:t>
      </w:r>
      <w:r>
        <w:rPr>
          <w:rFonts w:ascii="仿宋_GB2312" w:eastAsia="仿宋_GB2312" w:hint="eastAsia"/>
          <w:sz w:val="32"/>
          <w:szCs w:val="32"/>
        </w:rPr>
        <w:lastRenderedPageBreak/>
        <w:t>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w:t>
      </w:r>
      <w:r>
        <w:rPr>
          <w:rFonts w:ascii="仿宋_GB2312" w:eastAsia="仿宋_GB2312" w:hint="eastAsia"/>
          <w:sz w:val="32"/>
          <w:szCs w:val="32"/>
        </w:rPr>
        <w:lastRenderedPageBreak/>
        <w:t>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8AF78A" w14:textId="77777777" w:rsidR="00EA656B" w:rsidRDefault="00EA656B">
      <w:r>
        <w:separator/>
      </w:r>
    </w:p>
  </w:endnote>
  <w:endnote w:type="continuationSeparator" w:id="0">
    <w:p w14:paraId="3234A3E4" w14:textId="77777777" w:rsidR="00EA656B" w:rsidRDefault="00EA6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26A77A" w14:textId="77777777" w:rsidR="00EA656B" w:rsidRDefault="00EA656B">
      <w:r>
        <w:separator/>
      </w:r>
    </w:p>
  </w:footnote>
  <w:footnote w:type="continuationSeparator" w:id="0">
    <w:p w14:paraId="16C2A13B" w14:textId="77777777" w:rsidR="00EA656B" w:rsidRDefault="00EA65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cumentProtection w:enforcement="1" w:edit="comments" w:salt="Uoe3G9Lcof3895j6Oq7t/w==" w:hash="r246WzAO/i64tdZUXoFC3GCAbY8="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1031</Words>
  <Characters>5882</Characters>
  <Application>Microsoft Office Word</Application>
  <DocSecurity>0</DocSecurity>
  <Lines>49</Lines>
  <Paragraphs>13</Paragraphs>
  <ScaleCrop>false</ScaleCrop>
  <Company/>
  <LinksUpToDate>false</LinksUpToDate>
  <CharactersWithSpaces>6900</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2020-09-11T11:08:00Z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