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bookmarkStart w:id="0" w:name="_GoBack"/>
      <w:bookmarkEnd w:id="0"/>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新疆伊斯兰教经学院喀什分院2019年度部门决算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AB3C96">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AB3C96">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AB3C96">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AB3C96">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AB3C96">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AB3C96">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AB3C96">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 部门单位概况</w:t>
      </w:r>
      <w:bookmarkEnd w:id="1"/>
      <w:bookmarkEnd w:id="2"/>
    </w:p>
    <w:p w:rsidR="008853A8" w:rsidRDefault="008853A8">
      <w:pPr>
        <w:ind w:firstLineChars="200" w:firstLine="640"/>
        <w:outlineLvl w:val="1"/>
        <w:rPr>
          <w:rFonts w:ascii="黑体" w:eastAsia="黑体" w:hAnsi="黑体" w:cs="宋体"/>
          <w:bCs/>
          <w:kern w:val="0"/>
          <w:sz w:val="32"/>
          <w:szCs w:val="32"/>
        </w:rPr>
      </w:pPr>
      <w:bookmarkStart w:id="3" w:name="_Toc30738"/>
      <w:bookmarkStart w:id="4" w:name="_Toc30567"/>
      <w:r>
        <w:rPr>
          <w:rFonts w:ascii="黑体" w:eastAsia="黑体" w:hAnsi="黑体" w:cs="宋体" w:hint="eastAsia"/>
          <w:bCs/>
          <w:kern w:val="0"/>
          <w:sz w:val="32"/>
          <w:szCs w:val="32"/>
        </w:rPr>
        <w:t>一、主要职能</w:t>
      </w:r>
      <w:bookmarkEnd w:id="3"/>
      <w:bookmarkEnd w:id="4"/>
    </w:p>
    <w:p w:rsidR="002416CD" w:rsidRDefault="00AD1615">
      <w:pPr>
        <w:ind w:firstLine="480"/>
      </w:pPr>
      <w:r>
        <w:rPr>
          <w:rFonts w:ascii="仿宋_GB2312" w:eastAsia="仿宋_GB2312" w:hAnsi="仿宋_GB2312" w:cs="仿宋_GB2312"/>
          <w:sz w:val="32"/>
        </w:rPr>
        <w:t>1、全面贯彻习近平新时代中国特色社会主义思想和党的十九大精神、进一步贯彻落实习近平总书记关于宗教工作的重要批示指示精神，围绕长治久安总目标，认真贯彻执行党的宗教方针政策、国家法律等，积极引导伊斯兰教中国化方向，促进宗教与社会主义社会相适应。2、按照自治区党委的统一部署，在地委的坚强领导下，在地委统战部有力指导下，培训严格按照自治区党委关于宗教教职人员教育培训工作的系列要求，着力加强国家通用语言文字学习和中华传统文化教育，切实提高宗教教职人员掌握和使用国家通用语言文字的能力和水平，坚持将学习</w:t>
      </w:r>
      <w:r w:rsidR="00427BAC">
        <w:rPr>
          <w:rFonts w:ascii="仿宋_GB2312" w:eastAsia="仿宋_GB2312" w:hAnsi="仿宋_GB2312" w:cs="仿宋_GB2312"/>
          <w:sz w:val="32"/>
        </w:rPr>
        <w:t>国家通用语言文字</w:t>
      </w:r>
      <w:r>
        <w:rPr>
          <w:rFonts w:ascii="仿宋_GB2312" w:eastAsia="仿宋_GB2312" w:hAnsi="仿宋_GB2312" w:cs="仿宋_GB2312"/>
          <w:sz w:val="32"/>
        </w:rPr>
        <w:t>贯穿于学习政策法律、爱国教育、“五个认同”教育和“去极端化”教育全过程，引导宗教教职人员不断提高思想政治觉悟，澄清模糊认识，进一步增强国家意识、法治意识、公民意识，增强“五个认同”和“三个离不开”观念，牢固树立中华民族共同体意识，提高抵御宗教极端的能力，为促进民族团结、推动宗教和睦、实现社会长治久安奠定思想基础。3、培训过程中，严格遵循教育教学规律，研究教与学两方面的问题，提高教学质量；负责实施学院教研工作计划；组织落实新疆伊斯兰教经学院下达的教学大纲和教学方案。</w:t>
      </w:r>
    </w:p>
    <w:p w:rsidR="008853A8" w:rsidRDefault="008853A8">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1F777A" w:rsidRPr="001F777A" w:rsidRDefault="001F777A" w:rsidP="001F777A">
      <w:pPr>
        <w:ind w:firstLineChars="200" w:firstLine="640"/>
      </w:pPr>
      <w:r>
        <w:rPr>
          <w:rFonts w:ascii="仿宋_GB2312" w:eastAsia="仿宋_GB2312" w:hAnsi="仿宋_GB2312" w:cs="仿宋_GB2312"/>
          <w:sz w:val="32"/>
        </w:rPr>
        <w:lastRenderedPageBreak/>
        <w:t>新疆伊斯兰教经学院喀什分院2019年度，实有人数16人，其中：在职人员16人，离休人员0人，退休人员0人。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从部门决算单位构成看，新疆伊斯兰教经学院喀什分院部门决算包括：新疆伊斯兰教经学院喀什分院决算。</w:t>
      </w:r>
    </w:p>
    <w:p w:rsidR="008853A8" w:rsidRDefault="008853A8">
      <w:pPr>
        <w:ind w:firstLineChars="200" w:firstLine="640"/>
        <w:jc w:val="center"/>
        <w:outlineLvl w:val="0"/>
        <w:rPr>
          <w:rFonts w:ascii="黑体" w:eastAsia="黑体" w:hAnsi="黑体"/>
          <w:sz w:val="32"/>
          <w:szCs w:val="32"/>
        </w:rPr>
      </w:pPr>
      <w:bookmarkStart w:id="7" w:name="_Toc3092"/>
      <w:bookmarkStart w:id="8" w:name="_Toc29374"/>
      <w:r>
        <w:rPr>
          <w:rFonts w:ascii="黑体" w:eastAsia="黑体" w:hAnsi="黑体" w:hint="eastAsia"/>
          <w:sz w:val="32"/>
          <w:szCs w:val="32"/>
        </w:rPr>
        <w:t>第二部分 部门决算情况说明</w:t>
      </w:r>
      <w:bookmarkEnd w:id="7"/>
      <w:bookmarkEnd w:id="8"/>
    </w:p>
    <w:p w:rsidR="008853A8" w:rsidRDefault="008853A8">
      <w:pPr>
        <w:ind w:firstLineChars="200" w:firstLine="640"/>
        <w:outlineLvl w:val="1"/>
        <w:rPr>
          <w:rFonts w:ascii="黑体" w:eastAsia="黑体" w:hAnsi="黑体" w:cs="宋体"/>
          <w:bCs/>
          <w:kern w:val="0"/>
          <w:sz w:val="32"/>
          <w:szCs w:val="32"/>
        </w:rPr>
      </w:pPr>
      <w:bookmarkStart w:id="9" w:name="_Toc12566"/>
      <w:bookmarkStart w:id="10" w:name="_Toc25314"/>
      <w:r>
        <w:rPr>
          <w:rFonts w:ascii="黑体" w:eastAsia="黑体" w:hAnsi="黑体" w:cs="宋体" w:hint="eastAsia"/>
          <w:bCs/>
          <w:kern w:val="0"/>
          <w:sz w:val="32"/>
          <w:szCs w:val="32"/>
        </w:rPr>
        <w:t>一、收入支出决算总体情况说明</w:t>
      </w:r>
      <w:bookmarkEnd w:id="9"/>
      <w:bookmarkEnd w:id="10"/>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394.60万元，与上年相比，增加394.60万元，增长100%，主要原因是：本单位为2019年新增预算单位。本年支出394.60万元，与上年相比，增加394.60万元，增长100%，主要原因是：本单位为2019年新增预算单位。</w:t>
      </w:r>
    </w:p>
    <w:p w:rsidR="008853A8" w:rsidRDefault="008853A8">
      <w:pPr>
        <w:ind w:firstLineChars="200" w:firstLine="640"/>
        <w:outlineLvl w:val="1"/>
        <w:rPr>
          <w:rFonts w:ascii="黑体" w:eastAsia="黑体" w:hAnsi="黑体" w:cs="宋体"/>
          <w:bCs/>
          <w:kern w:val="0"/>
          <w:sz w:val="32"/>
          <w:szCs w:val="32"/>
        </w:rPr>
      </w:pPr>
      <w:bookmarkStart w:id="11" w:name="_Toc1979"/>
      <w:bookmarkStart w:id="12" w:name="_Toc12142"/>
      <w:r>
        <w:rPr>
          <w:rFonts w:ascii="黑体" w:eastAsia="黑体" w:hAnsi="黑体" w:cs="宋体" w:hint="eastAsia"/>
          <w:bCs/>
          <w:kern w:val="0"/>
          <w:sz w:val="32"/>
          <w:szCs w:val="32"/>
        </w:rPr>
        <w:t>二、收入决算情况说明</w:t>
      </w:r>
      <w:bookmarkEnd w:id="11"/>
      <w:bookmarkEnd w:id="12"/>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2019年度本年收入394.60万元，其中：财政拨款收入394.60万元，占100%；上级补助收入0万元，占0%；事业收入0万元，占0%；经营收入0万元，占0%；附属单位上缴收入0万元，占0%；其他收入0万元，占0%。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2019年度本年支出394.60万元，其中：基本支出129.61万元，占32.85%；项目支出264.99万元，占67.15%；上缴上级支出0万元，占0%；经营支出0万元，占0%；对附属单位补助支出0万元，占0%。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lastRenderedPageBreak/>
        <w:t>2019年度财政拨款收入394.60万元，与上年相比，增加394.60万元，增长100%，主要原因是：本单位为2019年新增预算单位。财政拨款支出394.60万元，与上年相比，增加394.60万元，增长100%，主要原因是：本单位为2019年新增预算单位。</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361.99万元，决算数394.60万元，预决算差异率9.01%，主要原因是：本年预算不包括当年上级专项资金。财政拨款支出年初预算数361.99万元，决算数394.60万元，预决算差异率9.01%，主要原因是：本年预算不包括当年上级专项资金。</w:t>
      </w:r>
    </w:p>
    <w:p w:rsidR="008853A8" w:rsidRDefault="008853A8">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2019年度一般公共预算财政拨款支出394.60万元。按功能分类科目项级科目公开，其中：</w:t>
      </w:r>
    </w:p>
    <w:p w:rsidR="002416CD" w:rsidRDefault="00AD1615">
      <w:pPr>
        <w:ind w:firstLine="480"/>
      </w:pPr>
      <w:r>
        <w:rPr>
          <w:rFonts w:ascii="仿宋_GB2312" w:eastAsia="仿宋_GB2312" w:hAnsi="仿宋_GB2312" w:cs="仿宋_GB2312"/>
          <w:sz w:val="32"/>
        </w:rPr>
        <w:t xml:space="preserve">   2012399其他民族事务支出198.57万元；</w:t>
      </w:r>
    </w:p>
    <w:p w:rsidR="002416CD" w:rsidRDefault="00AD1615">
      <w:pPr>
        <w:ind w:firstLine="480"/>
      </w:pPr>
      <w:r>
        <w:rPr>
          <w:rFonts w:ascii="仿宋_GB2312" w:eastAsia="仿宋_GB2312" w:hAnsi="仿宋_GB2312" w:cs="仿宋_GB2312"/>
          <w:sz w:val="32"/>
        </w:rPr>
        <w:t xml:space="preserve">   2013499其他统战事务支出171.43万元；</w:t>
      </w:r>
    </w:p>
    <w:p w:rsidR="002416CD" w:rsidRDefault="00AD1615">
      <w:pPr>
        <w:ind w:firstLine="480"/>
      </w:pPr>
      <w:r>
        <w:rPr>
          <w:rFonts w:ascii="仿宋_GB2312" w:eastAsia="仿宋_GB2312" w:hAnsi="仿宋_GB2312" w:cs="仿宋_GB2312"/>
          <w:sz w:val="32"/>
        </w:rPr>
        <w:t xml:space="preserve">   2080505机关事业单位基本养老保险缴费支出13.98万元；</w:t>
      </w:r>
    </w:p>
    <w:p w:rsidR="002416CD" w:rsidRDefault="00AD1615">
      <w:pPr>
        <w:ind w:firstLine="480"/>
      </w:pPr>
      <w:r>
        <w:rPr>
          <w:rFonts w:ascii="仿宋_GB2312" w:eastAsia="仿宋_GB2312" w:hAnsi="仿宋_GB2312" w:cs="仿宋_GB2312"/>
          <w:sz w:val="32"/>
        </w:rPr>
        <w:t xml:space="preserve">   2210201住房公积金支出10.62万元。</w:t>
      </w:r>
    </w:p>
    <w:p w:rsidR="008853A8" w:rsidRDefault="008853A8">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2019年度一般公共预算财政拨款基本支出129.61万元，其中：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lastRenderedPageBreak/>
        <w:t>人员经费126.65万元，包括：基本工资、津贴补贴、奖金、绩效工资、机关事业单位基本养老保险缴费、职工基本医疗保险缴费、其他社会保障缴费、住房公积金、奖励金。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公用经费2.97万元，包括：办公费、差旅费、维修（护）费、公务用车运行维护费、其他商品和服务支出。</w:t>
      </w:r>
    </w:p>
    <w:p w:rsidR="008853A8" w:rsidRDefault="008853A8">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0.10万元，比上年增加0.10万元，增长100%，主要原因是本单位为2019年新增预算单位。其中，因公出国（境）费支出0万元，占0%，比上年增加0万元，增长0%，主要原因是与上年相比无变动，与上年一致；公务用车购置及运行维护费支出0.10万元，占100%，比上年增加0.10万元，增长100%，主要原因是本单位为2019年新增预算单位；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公务用车购置及运行维护费0.10万元，其中，公务用车购置费0万元，公务用车运行维护费0.10万元。公务用车运行维护费开支内容包括维修费。公务用车购置数0辆，</w:t>
      </w:r>
      <w:r>
        <w:rPr>
          <w:rFonts w:ascii="仿宋_GB2312" w:eastAsia="仿宋_GB2312" w:hAnsi="仿宋_GB2312" w:cs="仿宋_GB2312"/>
          <w:sz w:val="32"/>
        </w:rPr>
        <w:lastRenderedPageBreak/>
        <w:t>公务用车保有量0辆。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1.30万元，决算数0.10万元，预决算差异率-92.31%，主要原因是：本单位仅有一辆公务用车，经维修后年检仍未通过，当年未使用。其中：因公出国（境）费预算数0万元，决算数0万元，预决算差异率0%，主要原因是：预算未安排，无此项支出；公务用车购置费预算数0万元，决算数0万元，预决算差异率0%，主要原因是：预算未安排，无此项支出；公务用车运行费预算数1.30万元，决算数0.10万元，预决算差异率-92.31%，主要原因是：本单位仅有一辆公务用车，经维修后年检仍未通过，当年未使用；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8853A8" w:rsidRDefault="008853A8">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新疆伊斯兰教经学院喀什分院日常公用经费2.97万元，比上年增加2.97万元，增长100%，主要原因是本单位为2019</w:t>
      </w:r>
      <w:r>
        <w:rPr>
          <w:rFonts w:ascii="仿宋_GB2312" w:eastAsia="仿宋_GB2312" w:hAnsi="仿宋_GB2312" w:cs="仿宋_GB2312"/>
          <w:sz w:val="32"/>
        </w:rPr>
        <w:lastRenderedPageBreak/>
        <w:t>年新增预算单位。</w:t>
      </w:r>
    </w:p>
    <w:p w:rsidR="008853A8" w:rsidRDefault="008853A8">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2019年度政府采购支出总额15.40万元，其中：政府采购货物支出15.40万元、政府采购工程支出0万元、政府采购服务支出0万元。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授予中小企业合同金额15.40万元，占政府采购支出总额的100%，其中：授予小微企业合同金额15.40万元，占政府采购支出总额的100%。</w:t>
      </w:r>
    </w:p>
    <w:p w:rsidR="008853A8" w:rsidRDefault="008853A8">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8853A8" w:rsidRDefault="00FA165C">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w:t>
      </w:r>
      <w:r>
        <w:rPr>
          <w:rFonts w:ascii="仿宋_GB2312" w:eastAsia="仿宋_GB2312" w:hAnsi="仿宋_GB2312" w:cs="仿宋_GB2312" w:hint="eastAsia"/>
          <w:sz w:val="32"/>
        </w:rPr>
        <w:t>2019年度开展预算绩效评价项目0个，涉及金额0元，下一步措施涉密，我单位项目涉密，</w:t>
      </w:r>
      <w:r w:rsidR="00B66BA8">
        <w:rPr>
          <w:rFonts w:ascii="仿宋_GB2312" w:eastAsia="仿宋_GB2312" w:hAnsi="仿宋_GB2312" w:cs="仿宋_GB2312" w:hint="eastAsia"/>
          <w:sz w:val="32"/>
        </w:rPr>
        <w:t>不予</w:t>
      </w:r>
      <w:r>
        <w:rPr>
          <w:rFonts w:ascii="仿宋_GB2312" w:eastAsia="仿宋_GB2312" w:hAnsi="仿宋_GB2312" w:cs="仿宋_GB2312" w:hint="eastAsia"/>
          <w:sz w:val="32"/>
        </w:rPr>
        <w:t>公开</w:t>
      </w:r>
      <w:r w:rsidR="0095219B">
        <w:rPr>
          <w:rFonts w:ascii="仿宋_GB2312" w:eastAsia="仿宋_GB2312" w:hAnsi="仿宋_GB2312" w:cs="仿宋_GB2312"/>
          <w:sz w:val="32"/>
        </w:rPr>
        <w:t>。</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w:t>
      </w:r>
      <w:r>
        <w:rPr>
          <w:rFonts w:ascii="仿宋_GB2312" w:eastAsia="仿宋_GB2312" w:hint="eastAsia"/>
          <w:sz w:val="32"/>
          <w:szCs w:val="32"/>
        </w:rPr>
        <w:lastRenderedPageBreak/>
        <w:t>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w:t>
      </w:r>
      <w:r>
        <w:rPr>
          <w:rFonts w:ascii="仿宋_GB2312" w:eastAsia="仿宋_GB2312" w:hint="eastAsia"/>
          <w:sz w:val="32"/>
          <w:szCs w:val="32"/>
        </w:rPr>
        <w:lastRenderedPageBreak/>
        <w:t>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C96" w:rsidRDefault="00AB3C96">
      <w:r>
        <w:separator/>
      </w:r>
    </w:p>
  </w:endnote>
  <w:endnote w:type="continuationSeparator" w:id="0">
    <w:p w:rsidR="00AB3C96" w:rsidRDefault="00AB3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427BAC">
                            <w:rPr>
                              <w:noProof/>
                            </w:rPr>
                            <w:t>12</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427BAC">
                      <w:rPr>
                        <w:noProof/>
                      </w:rPr>
                      <w:t>12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C96" w:rsidRDefault="00AB3C96">
      <w:r>
        <w:separator/>
      </w:r>
    </w:p>
  </w:footnote>
  <w:footnote w:type="continuationSeparator" w:id="0">
    <w:p w:rsidR="00AB3C96" w:rsidRDefault="00AB3C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A4198"/>
    <w:rsid w:val="001C2D35"/>
    <w:rsid w:val="001C5BE8"/>
    <w:rsid w:val="001C6E66"/>
    <w:rsid w:val="001D3634"/>
    <w:rsid w:val="001D37EF"/>
    <w:rsid w:val="001E4D79"/>
    <w:rsid w:val="001F29A9"/>
    <w:rsid w:val="001F777A"/>
    <w:rsid w:val="002122DE"/>
    <w:rsid w:val="00227229"/>
    <w:rsid w:val="002328AF"/>
    <w:rsid w:val="00233021"/>
    <w:rsid w:val="002416CD"/>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27BAC"/>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B3C96"/>
    <w:rsid w:val="00AC0B18"/>
    <w:rsid w:val="00AC1D87"/>
    <w:rsid w:val="00AC2605"/>
    <w:rsid w:val="00AD1615"/>
    <w:rsid w:val="00AE136F"/>
    <w:rsid w:val="00AE6C82"/>
    <w:rsid w:val="00AE7A56"/>
    <w:rsid w:val="00AF0871"/>
    <w:rsid w:val="00AF530E"/>
    <w:rsid w:val="00AF5DFE"/>
    <w:rsid w:val="00B006E5"/>
    <w:rsid w:val="00B24234"/>
    <w:rsid w:val="00B3219F"/>
    <w:rsid w:val="00B42062"/>
    <w:rsid w:val="00B64D13"/>
    <w:rsid w:val="00B66BA8"/>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3628F"/>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A165C"/>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822</Words>
  <Characters>4692</Characters>
  <Application>Microsoft Office Word</Application>
  <DocSecurity>0</DocSecurity>
  <Lines>39</Lines>
  <Paragraphs>11</Paragraphs>
  <ScaleCrop>false</ScaleCrop>
  <Company/>
  <LinksUpToDate>false</LinksUpToDate>
  <CharactersWithSpaces>5503</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11</cp:revision>
  <dcterms:created xsi:type="dcterms:W3CDTF">2020-09-08T14:04:00Z</dcterms:created>
  <dcterms:modified xsi:type="dcterms:W3CDTF">2020-10-18T12:55:00Z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