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附件1：</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2018年度新疆喀什地区行政公署办公室部门决算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行署办公室是行署的办事机构，协助行署领导同志处理行署的日常工作。主要职责是负责全面了解地区经济与社会发展情况，及时掌握全区重大动态，为行署科学决策发挥参谋助手作用。围绕地区的中心工作，根据行署的部署，对各级人民政府及行署各职能部门贯彻落实党和国家路线方针政策及自治区政策法规、重大工作部署进行调研，并组织力量对地区和谐、改革和发展等重大问题进行专题调研，提出意见和建议，供行署领导决策参考。负责行署日常工作的综合协调。办理行署领导同志交办的其他事项。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新疆喀什地区行政公署办公室</w:t>
      </w:r>
      <w:r>
        <w:rPr>
          <w:rFonts w:hint="eastAsia" w:ascii="仿宋_GB2312" w:eastAsia="仿宋_GB2312"/>
          <w:sz w:val="32"/>
          <w:szCs w:val="32"/>
        </w:rPr>
        <w:t>部门决算包括：</w:t>
      </w:r>
      <w:r>
        <w:rPr>
          <w:rFonts w:ascii="仿宋_GB2312" w:eastAsia="仿宋_GB2312"/>
          <w:sz w:val="32"/>
          <w:szCs w:val="32"/>
        </w:rPr>
        <w:t>新疆喀什地区行政公署办公室</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新疆喀什地区行政公署办公室</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position w:val="-1"/>
                <w:sz w:val="32"/>
              </w:rPr>
              <w:t>1</w:t>
            </w:r>
          </w:p>
        </w:tc>
        <w:tc>
          <w:tcPr>
            <w:tcW w:w="3870" w:type="dxa"/>
          </w:tcPr>
          <w:p>
            <w:pPr>
              <w:spacing w:line="500" w:lineRule="exact"/>
              <w:ind w:firstLine="640" w:firstLineChars="200"/>
              <w:jc w:val="left"/>
            </w:pPr>
            <w:r>
              <w:rPr>
                <w:rFonts w:ascii="仿宋_GB2312" w:eastAsia="仿宋_GB2312"/>
                <w:position w:val="-1"/>
                <w:sz w:val="32"/>
              </w:rPr>
              <w:t>新疆喀什地区行政公署办公室</w:t>
            </w:r>
          </w:p>
        </w:tc>
        <w:tc>
          <w:tcPr>
            <w:tcW w:w="2538" w:type="dxa"/>
            <w:vAlign w:val="center"/>
          </w:tcPr>
          <w:p>
            <w:pPr>
              <w:spacing w:line="500" w:lineRule="exact"/>
              <w:ind w:firstLine="420" w:firstLineChars="20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position w:val="-1"/>
                <w:sz w:val="32"/>
              </w:rPr>
              <w:t>2</w:t>
            </w:r>
          </w:p>
        </w:tc>
        <w:tc>
          <w:tcPr>
            <w:tcW w:w="3870" w:type="dxa"/>
          </w:tcPr>
          <w:p>
            <w:pPr>
              <w:spacing w:line="500" w:lineRule="exact"/>
              <w:ind w:firstLine="640" w:firstLineChars="200"/>
              <w:jc w:val="left"/>
            </w:pPr>
            <w:r>
              <w:rPr>
                <w:rFonts w:ascii="仿宋_GB2312" w:eastAsia="仿宋_GB2312"/>
                <w:position w:val="-1"/>
                <w:sz w:val="32"/>
              </w:rPr>
              <w:t>喀什地区扶贫办</w:t>
            </w:r>
          </w:p>
        </w:tc>
        <w:tc>
          <w:tcPr>
            <w:tcW w:w="2538" w:type="dxa"/>
            <w:vAlign w:val="center"/>
          </w:tcPr>
          <w:p>
            <w:pPr>
              <w:spacing w:line="500" w:lineRule="exact"/>
              <w:ind w:firstLine="420" w:firstLineChars="20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position w:val="-1"/>
                <w:sz w:val="32"/>
              </w:rPr>
              <w:t>3</w:t>
            </w:r>
          </w:p>
        </w:tc>
        <w:tc>
          <w:tcPr>
            <w:tcW w:w="3870" w:type="dxa"/>
          </w:tcPr>
          <w:p>
            <w:pPr>
              <w:spacing w:line="500" w:lineRule="exact"/>
              <w:ind w:firstLine="640" w:firstLineChars="200"/>
              <w:jc w:val="left"/>
            </w:pPr>
            <w:r>
              <w:rPr>
                <w:rFonts w:ascii="仿宋_GB2312" w:eastAsia="仿宋_GB2312"/>
                <w:position w:val="-1"/>
                <w:sz w:val="32"/>
              </w:rPr>
              <w:t>喀什地区统计局</w:t>
            </w:r>
          </w:p>
        </w:tc>
        <w:tc>
          <w:tcPr>
            <w:tcW w:w="2538" w:type="dxa"/>
            <w:vAlign w:val="center"/>
          </w:tcPr>
          <w:p>
            <w:pPr>
              <w:spacing w:line="500" w:lineRule="exact"/>
              <w:ind w:firstLine="420" w:firstLineChars="20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position w:val="-1"/>
                <w:sz w:val="32"/>
              </w:rPr>
              <w:t>4</w:t>
            </w:r>
          </w:p>
        </w:tc>
        <w:tc>
          <w:tcPr>
            <w:tcW w:w="3870" w:type="dxa"/>
          </w:tcPr>
          <w:p>
            <w:pPr>
              <w:spacing w:line="500" w:lineRule="exact"/>
              <w:ind w:firstLine="640" w:firstLineChars="200"/>
              <w:jc w:val="left"/>
            </w:pPr>
            <w:r>
              <w:rPr>
                <w:rFonts w:ascii="仿宋_GB2312" w:eastAsia="仿宋_GB2312"/>
                <w:position w:val="-1"/>
                <w:sz w:val="32"/>
              </w:rPr>
              <w:t>喀什地区知识产权局</w:t>
            </w:r>
          </w:p>
        </w:tc>
        <w:tc>
          <w:tcPr>
            <w:tcW w:w="2538" w:type="dxa"/>
            <w:vAlign w:val="center"/>
          </w:tcPr>
          <w:p>
            <w:pPr>
              <w:spacing w:line="500" w:lineRule="exact"/>
              <w:ind w:firstLine="420" w:firstLineChars="20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position w:val="-1"/>
                <w:sz w:val="32"/>
              </w:rPr>
              <w:t>5</w:t>
            </w:r>
          </w:p>
        </w:tc>
        <w:tc>
          <w:tcPr>
            <w:tcW w:w="3870" w:type="dxa"/>
          </w:tcPr>
          <w:p>
            <w:pPr>
              <w:spacing w:line="500" w:lineRule="exact"/>
              <w:ind w:firstLine="640" w:firstLineChars="200"/>
              <w:jc w:val="left"/>
            </w:pPr>
            <w:r>
              <w:rPr>
                <w:rFonts w:ascii="仿宋_GB2312" w:eastAsia="仿宋_GB2312"/>
                <w:position w:val="-1"/>
                <w:sz w:val="32"/>
              </w:rPr>
              <w:t>喀什地区法制办</w:t>
            </w:r>
          </w:p>
        </w:tc>
        <w:tc>
          <w:tcPr>
            <w:tcW w:w="2538" w:type="dxa"/>
            <w:vAlign w:val="center"/>
          </w:tcPr>
          <w:p>
            <w:pPr>
              <w:spacing w:line="500" w:lineRule="exact"/>
              <w:ind w:firstLine="420" w:firstLineChars="20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position w:val="-1"/>
                <w:sz w:val="32"/>
              </w:rPr>
              <w:t>6</w:t>
            </w:r>
          </w:p>
        </w:tc>
        <w:tc>
          <w:tcPr>
            <w:tcW w:w="3870" w:type="dxa"/>
          </w:tcPr>
          <w:p>
            <w:pPr>
              <w:spacing w:line="500" w:lineRule="exact"/>
              <w:ind w:firstLine="640" w:firstLineChars="200"/>
              <w:jc w:val="left"/>
            </w:pPr>
            <w:r>
              <w:rPr>
                <w:rFonts w:ascii="仿宋_GB2312" w:eastAsia="仿宋_GB2312"/>
                <w:position w:val="-1"/>
                <w:sz w:val="32"/>
              </w:rPr>
              <w:t>喀什地区旅游局</w:t>
            </w:r>
          </w:p>
        </w:tc>
        <w:tc>
          <w:tcPr>
            <w:tcW w:w="2538" w:type="dxa"/>
            <w:vAlign w:val="center"/>
          </w:tcPr>
          <w:p>
            <w:pPr>
              <w:spacing w:line="500" w:lineRule="exact"/>
              <w:ind w:firstLine="420" w:firstLineChars="20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position w:val="-1"/>
                <w:sz w:val="32"/>
              </w:rPr>
              <w:t>7</w:t>
            </w:r>
          </w:p>
        </w:tc>
        <w:tc>
          <w:tcPr>
            <w:tcW w:w="3870" w:type="dxa"/>
          </w:tcPr>
          <w:p>
            <w:pPr>
              <w:spacing w:line="500" w:lineRule="exact"/>
              <w:ind w:firstLine="640" w:firstLineChars="200"/>
              <w:jc w:val="left"/>
            </w:pPr>
            <w:r>
              <w:rPr>
                <w:rFonts w:ascii="仿宋_GB2312" w:eastAsia="仿宋_GB2312"/>
                <w:position w:val="-1"/>
                <w:sz w:val="32"/>
              </w:rPr>
              <w:t>喀什驻京办</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100"/>
      <w:bookmarkStart w:id="5" w:name="OLE_LINK99"/>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5,442.28</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，与上年相比，减少33.86万元，下降0.62%，减少的主要原因是：</w:t>
      </w:r>
      <w:r>
        <w:rPr>
          <w:rFonts w:hint="eastAsia" w:ascii="仿宋_GB2312" w:eastAsia="仿宋_GB2312"/>
          <w:color w:val="000000" w:themeColor="text1"/>
          <w:sz w:val="32"/>
          <w:szCs w:val="32"/>
        </w:rPr>
        <w:t>援疆等其它收入减少；</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5,442.28</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，与上年相比，减少33.86万元，下降0.62%，减少的主要原因是：</w:t>
      </w:r>
      <w:r>
        <w:rPr>
          <w:rFonts w:hint="eastAsia" w:ascii="仿宋_GB2312" w:eastAsia="仿宋_GB2312"/>
          <w:color w:val="000000" w:themeColor="text1"/>
          <w:sz w:val="32"/>
          <w:szCs w:val="32"/>
        </w:rPr>
        <w:t>地区信访局、地区安居办划出；</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w:t>
      </w:r>
      <w:r>
        <w:rPr>
          <w:rFonts w:ascii="仿宋_GB2312" w:eastAsia="仿宋_GB2312"/>
          <w:color w:val="000000" w:themeColor="text1"/>
          <w:sz w:val="32"/>
          <w:szCs w:val="32"/>
        </w:rPr>
        <w:t>无变化。</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5,442.28</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5,442.28</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况：本年收入年初预算数5,819.57万元</w:t>
      </w:r>
      <w:r>
        <w:rPr>
          <w:rFonts w:hint="eastAsia" w:ascii="仿宋_GB2312" w:eastAsia="仿宋_GB2312"/>
          <w:sz w:val="32"/>
          <w:szCs w:val="32"/>
        </w:rPr>
        <w:t>，决算数5,442.28万元</w:t>
      </w:r>
      <w:r>
        <w:rPr>
          <w:rFonts w:ascii="仿宋_GB2312" w:eastAsia="仿宋_GB2312"/>
          <w:sz w:val="32"/>
          <w:szCs w:val="32"/>
        </w:rPr>
        <w:t>，预决算差异率-6.48%，差异主要原因是:项目预算资金未组织实施。</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5,442.28</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3,893.18</w:t>
      </w:r>
      <w:r>
        <w:rPr>
          <w:rFonts w:hint="eastAsia" w:ascii="仿宋_GB2312" w:eastAsia="仿宋_GB2312"/>
          <w:color w:val="000000" w:themeColor="text1"/>
          <w:sz w:val="32"/>
          <w:szCs w:val="32"/>
        </w:rPr>
        <w:t>万元，占</w:t>
      </w:r>
      <w:r>
        <w:rPr>
          <w:rFonts w:hint="eastAsia" w:ascii="仿宋_GB2312" w:eastAsia="仿宋_GB2312"/>
          <w:sz w:val="32"/>
          <w:szCs w:val="32"/>
        </w:rPr>
        <w:t>71.54%</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1,549.1</w:t>
      </w:r>
      <w:r>
        <w:rPr>
          <w:rFonts w:hint="eastAsia" w:ascii="仿宋_GB2312" w:eastAsia="仿宋_GB2312"/>
          <w:color w:val="000000" w:themeColor="text1"/>
          <w:sz w:val="32"/>
          <w:szCs w:val="32"/>
        </w:rPr>
        <w:t>万元，占</w:t>
      </w:r>
      <w:r>
        <w:rPr>
          <w:rFonts w:hint="eastAsia" w:ascii="仿宋_GB2312" w:eastAsia="仿宋_GB2312"/>
          <w:sz w:val="32"/>
          <w:szCs w:val="32"/>
        </w:rPr>
        <w:t>28.46%</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与年初预算数相比情况：本年支出年初预算数5,819.64万元，</w:t>
      </w:r>
      <w:r>
        <w:rPr>
          <w:rFonts w:hint="eastAsia" w:ascii="仿宋_GB2312" w:eastAsia="仿宋_GB2312"/>
          <w:sz w:val="32"/>
          <w:szCs w:val="32"/>
        </w:rPr>
        <w:t>决算数5,442.28万元</w:t>
      </w:r>
      <w:r>
        <w:rPr>
          <w:rFonts w:ascii="仿宋_GB2312" w:eastAsia="仿宋_GB2312"/>
          <w:sz w:val="32"/>
          <w:szCs w:val="32"/>
        </w:rPr>
        <w:t>，预决算差异率-6.48%，差异主要原因是:项目预算资金未组织实施。</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5,442.28</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，与上年相比，增加225.14万元，增长4.32%，增加的主要原因是：新增项目预算等。</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5,442.28</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，与上年相比，增加225.14万元，增长4.32%，增加的主要原因是：新增项目预算等</w:t>
      </w:r>
      <w:r>
        <w:rPr>
          <w:rFonts w:ascii="仿宋_GB2312" w:eastAsia="仿宋_GB2312"/>
          <w:sz w:val="32"/>
          <w:szCs w:val="32"/>
        </w:rPr>
        <w:t>。</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3,893.18</w:t>
      </w:r>
      <w:r>
        <w:rPr>
          <w:rFonts w:hint="eastAsia" w:ascii="仿宋_GB2312" w:eastAsia="仿宋_GB2312"/>
          <w:color w:val="000000" w:themeColor="text1"/>
          <w:sz w:val="32"/>
          <w:szCs w:val="32"/>
        </w:rPr>
        <w:t>万元，项目支出</w:t>
      </w:r>
      <w:r>
        <w:rPr>
          <w:rFonts w:hint="eastAsia" w:ascii="仿宋_GB2312" w:eastAsia="仿宋_GB2312"/>
          <w:sz w:val="32"/>
          <w:szCs w:val="32"/>
        </w:rPr>
        <w:t>1,549.1</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w:t>
      </w:r>
      <w:r>
        <w:rPr>
          <w:rFonts w:hint="eastAsia" w:ascii="宋体" w:hAnsi="宋体" w:cs="宋体"/>
          <w:sz w:val="32"/>
          <w:szCs w:val="32"/>
        </w:rPr>
        <w:t>与上年无变化</w:t>
      </w:r>
      <w:r>
        <w:rPr>
          <w:rFonts w:hint="eastAsia" w:ascii="仿宋_GB2312" w:eastAsia="仿宋_GB2312"/>
          <w:sz w:val="32"/>
          <w:szCs w:val="32"/>
        </w:rPr>
        <w:t>。</w:t>
      </w:r>
      <w:bookmarkEnd w:id="29"/>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5,819.57</w:t>
      </w:r>
      <w:r>
        <w:rPr>
          <w:rFonts w:hint="eastAsia" w:ascii="仿宋_GB2312" w:eastAsia="仿宋_GB2312"/>
          <w:color w:val="000000" w:themeColor="text1"/>
          <w:sz w:val="32"/>
          <w:szCs w:val="32"/>
        </w:rPr>
        <w:t>万元，决算数</w:t>
      </w:r>
      <w:r>
        <w:rPr>
          <w:rFonts w:hint="eastAsia" w:ascii="仿宋_GB2312" w:eastAsia="仿宋_GB2312"/>
          <w:sz w:val="32"/>
          <w:szCs w:val="32"/>
        </w:rPr>
        <w:t>5,442.28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，预决算差异率-6.48%，差异主要原因是:项目预算资金未组织实施。</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5,819.64</w:t>
      </w:r>
      <w:r>
        <w:rPr>
          <w:rFonts w:hint="eastAsia" w:ascii="仿宋_GB2312" w:eastAsia="仿宋_GB2312"/>
          <w:color w:val="000000" w:themeColor="text1"/>
          <w:sz w:val="32"/>
          <w:szCs w:val="32"/>
        </w:rPr>
        <w:t>万元，决算数</w:t>
      </w:r>
      <w:r>
        <w:rPr>
          <w:rFonts w:hint="eastAsia" w:ascii="仿宋_GB2312" w:eastAsia="仿宋_GB2312"/>
          <w:sz w:val="32"/>
          <w:szCs w:val="32"/>
        </w:rPr>
        <w:t>5,442.28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，预决算差异率-6.48%，差异主要原因是:项目预算资金未组织实施。</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5,415.62</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，与上年相比，增加198.48万元，增长3.8%，增加的主要原因是：</w:t>
      </w:r>
      <w:r>
        <w:rPr>
          <w:rFonts w:hint="eastAsia" w:ascii="仿宋_GB2312" w:eastAsia="仿宋_GB2312"/>
          <w:sz w:val="32"/>
          <w:szCs w:val="32"/>
        </w:rPr>
        <w:t>新增项目预算等</w:t>
      </w:r>
      <w:r>
        <w:rPr>
          <w:rFonts w:ascii="仿宋_GB2312" w:eastAsia="仿宋_GB2312"/>
          <w:color w:val="000000" w:themeColor="text1"/>
          <w:sz w:val="32"/>
          <w:szCs w:val="32"/>
        </w:rPr>
        <w:t>。</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5,415.62</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，与上年相比，增加198.48万元，增长3.8%，增加的主要原因是：新增项目预算等。</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住房保障支出200.1万元,一般公共服务支出3,958.22万元,</w:t>
      </w:r>
      <w:bookmarkStart w:id="92" w:name="_GoBack"/>
      <w:bookmarkEnd w:id="92"/>
      <w:r>
        <w:rPr>
          <w:rFonts w:hint="eastAsia" w:ascii="仿宋_GB2312" w:eastAsia="仿宋_GB2312"/>
          <w:sz w:val="32"/>
          <w:szCs w:val="32"/>
        </w:rPr>
        <w:t>农林水支出456.19万元,公共安全支出11.73万元,教育支出26.52万元,商业服务业等支出335.23万元,其他支出112.3万元,社会保障和就业支出315.34万元。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工资福利支出3,353.88万元,</w:t>
      </w:r>
      <w:r>
        <w:rPr>
          <w:rFonts w:hint="eastAsia" w:ascii="仿宋_GB2312" w:eastAsia="仿宋_GB2312"/>
          <w:sz w:val="32"/>
          <w:szCs w:val="32"/>
          <w:lang w:eastAsia="zh-CN"/>
        </w:rPr>
        <w:t>商品和服务支出</w:t>
      </w:r>
      <w:r>
        <w:rPr>
          <w:rFonts w:hint="eastAsia" w:ascii="仿宋_GB2312" w:eastAsia="仿宋_GB2312"/>
          <w:sz w:val="32"/>
          <w:szCs w:val="32"/>
          <w:lang w:val="en-US" w:eastAsia="zh-CN"/>
        </w:rPr>
        <w:t>1735.34万元,</w:t>
      </w:r>
      <w:r>
        <w:rPr>
          <w:rFonts w:hint="eastAsia" w:ascii="仿宋_GB2312" w:eastAsia="仿宋_GB2312"/>
          <w:sz w:val="32"/>
          <w:szCs w:val="32"/>
        </w:rPr>
        <w:t>对个人和家庭的补助326.4万元。</w:t>
      </w:r>
    </w:p>
    <w:p>
      <w:pPr>
        <w:spacing w:line="540" w:lineRule="exact"/>
        <w:ind w:firstLine="640" w:firstLineChars="200"/>
        <w:rPr>
          <w:rFonts w:ascii="仿宋_GB2312" w:eastAsia="仿宋_GB2312"/>
          <w:color w:val="000000" w:themeColor="text1"/>
          <w:sz w:val="32"/>
          <w:szCs w:val="32"/>
        </w:rPr>
      </w:pPr>
      <w:bookmarkStart w:id="41" w:name="OLE_LINK67"/>
      <w:bookmarkStart w:id="42" w:name="OLE_LINK66"/>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5,819.57</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5,415.62</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，预决算差异率-6.94%，差异主要原因是:项目预算资金未组织实施。</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5,819.64</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5,415.62</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，预决算差异率-6.94%，差异主要原因是:项目预算资金未组织实施。</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26.66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，与上年相比，增加26.66万元，增长100%，增加的主要原因是：地区旅游局新增政府性基金项目。</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26.66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，与上年相比，增加26.66万元，增长100%，增加的主要原因是：地区旅游局新增政府性基金项目。</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，其他支出26.66万元。按经济分类科目（按类级科目公开），商品和服务支出26.66万元。</w:t>
      </w:r>
    </w:p>
    <w:p>
      <w:pPr>
        <w:spacing w:line="540" w:lineRule="exact"/>
        <w:ind w:firstLine="640" w:firstLineChars="200"/>
        <w:rPr>
          <w:rFonts w:ascii="仿宋_GB2312" w:eastAsia="仿宋_GB2312"/>
          <w:color w:val="000000" w:themeColor="text1"/>
          <w:sz w:val="32"/>
          <w:szCs w:val="32"/>
        </w:rPr>
      </w:pPr>
      <w:bookmarkStart w:id="49" w:name="OLE_LINK72"/>
      <w:bookmarkStart w:id="50" w:name="OLE_LINK71"/>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26.66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，预决算差异率100%，差异主要原因是:</w:t>
      </w:r>
      <w:r>
        <w:rPr>
          <w:rFonts w:hint="eastAsia" w:ascii="仿宋_GB2312" w:eastAsia="仿宋_GB2312"/>
          <w:color w:val="000000" w:themeColor="text1"/>
          <w:sz w:val="32"/>
          <w:szCs w:val="32"/>
        </w:rPr>
        <w:t>年</w:t>
      </w:r>
      <w:r>
        <w:rPr>
          <w:rFonts w:hint="eastAsia" w:ascii="宋体" w:hAnsi="宋体" w:cs="宋体"/>
          <w:color w:val="000000" w:themeColor="text1"/>
          <w:sz w:val="32"/>
          <w:szCs w:val="32"/>
        </w:rPr>
        <w:t>中</w:t>
      </w:r>
      <w:r>
        <w:rPr>
          <w:rFonts w:hint="eastAsia" w:ascii="仿宋_GB2312" w:eastAsia="仿宋_GB2312"/>
          <w:color w:val="000000" w:themeColor="text1"/>
          <w:sz w:val="32"/>
          <w:szCs w:val="32"/>
        </w:rPr>
        <w:t>追加用于文化事业</w:t>
      </w:r>
      <w:r>
        <w:rPr>
          <w:rFonts w:hint="eastAsia" w:ascii="宋体" w:hAnsi="宋体" w:cs="宋体"/>
          <w:color w:val="000000" w:themeColor="text1"/>
          <w:sz w:val="32"/>
          <w:szCs w:val="32"/>
        </w:rPr>
        <w:t>的彩票公益基金收入</w:t>
      </w:r>
      <w:r>
        <w:rPr>
          <w:rFonts w:ascii="仿宋_GB2312" w:eastAsia="仿宋_GB2312"/>
          <w:color w:val="000000" w:themeColor="text1"/>
          <w:sz w:val="32"/>
          <w:szCs w:val="32"/>
        </w:rPr>
        <w:t>。</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26.66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，预决算差异率100%，差异主要原因是:</w:t>
      </w:r>
      <w:r>
        <w:rPr>
          <w:rFonts w:hint="eastAsia" w:ascii="仿宋_GB2312" w:eastAsia="仿宋_GB2312"/>
          <w:color w:val="000000" w:themeColor="text1"/>
          <w:sz w:val="32"/>
          <w:szCs w:val="32"/>
        </w:rPr>
        <w:t>增加用于文化事业</w:t>
      </w:r>
      <w:r>
        <w:rPr>
          <w:rFonts w:hint="eastAsia" w:ascii="宋体" w:hAnsi="宋体" w:cs="宋体"/>
          <w:color w:val="000000" w:themeColor="text1"/>
          <w:sz w:val="32"/>
          <w:szCs w:val="32"/>
        </w:rPr>
        <w:t>的彩票公益基金</w:t>
      </w:r>
      <w:r>
        <w:rPr>
          <w:rFonts w:ascii="仿宋_GB2312" w:eastAsia="仿宋_GB2312"/>
          <w:color w:val="000000" w:themeColor="text1"/>
          <w:sz w:val="32"/>
          <w:szCs w:val="32"/>
        </w:rPr>
        <w:t>支出。</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5"/>
      <w:bookmarkStart w:id="53" w:name="OLE_LINK26"/>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7"/>
      <w:bookmarkStart w:id="55" w:name="OLE_LINK28"/>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127.7</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，与上年相比，减少58.35万元，下降31.36%，减少的主要原因是：压减“三公”经费开支。</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0%，与上年相比，增加0万元，增长0%，主要原因是：无变化；</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127.7</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100%，与上年相比，减少58.35万元，下降31.36%，减少的主要原因是：未购置车辆以及压减车辆运行维护费；</w:t>
      </w:r>
      <w:bookmarkEnd w:id="61"/>
      <w:bookmarkStart w:id="62" w:name="OLE_LINK32"/>
      <w:bookmarkStart w:id="63" w:name="OLE_LINK78"/>
      <w:bookmarkStart w:id="64" w:name="OLE_LINK77"/>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0%，与上年相比，增加0万元，增长0%，主要原因是：无公务接待费。</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80"/>
      <w:bookmarkStart w:id="66" w:name="OLE_LINK79"/>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新疆喀什地区行政公署办公室</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5"/>
      <w:bookmarkStart w:id="69" w:name="OLE_LINK34"/>
      <w:bookmarkStart w:id="70" w:name="OLE_LINK36"/>
      <w:r>
        <w:rPr>
          <w:rFonts w:hint="eastAsia" w:ascii="仿宋_GB2312" w:eastAsia="仿宋_GB2312"/>
          <w:color w:val="000000" w:themeColor="text1"/>
          <w:sz w:val="32"/>
          <w:szCs w:val="32"/>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无此项支出。</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127.7</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1"/>
      <w:bookmarkStart w:id="76" w:name="OLE_LINK40"/>
      <w:r>
        <w:rPr>
          <w:rFonts w:hint="eastAsia" w:ascii="仿宋_GB2312" w:eastAsia="仿宋_GB2312"/>
          <w:color w:val="000000" w:themeColor="text1"/>
          <w:sz w:val="32"/>
          <w:szCs w:val="32"/>
        </w:rPr>
        <w:t>公务用车运行维护费</w:t>
      </w:r>
      <w:r>
        <w:rPr>
          <w:rFonts w:hint="eastAsia" w:ascii="仿宋_GB2312" w:eastAsia="仿宋_GB2312"/>
          <w:sz w:val="32"/>
          <w:szCs w:val="32"/>
        </w:rPr>
        <w:t>127.7</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公务用车的日常维修维护，车辆燃油费以及保险费</w:t>
      </w:r>
      <w:r>
        <w:rPr>
          <w:rFonts w:hint="eastAsia" w:ascii="仿宋_GB2312" w:eastAsia="仿宋_GB2312"/>
          <w:color w:val="000000" w:themeColor="text1"/>
          <w:sz w:val="32"/>
          <w:szCs w:val="32"/>
        </w:rPr>
        <w:t>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42</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无公务接待费</w:t>
      </w:r>
      <w:r>
        <w:rPr>
          <w:rFonts w:hint="eastAsia" w:ascii="仿宋_GB2312" w:eastAsia="仿宋_GB2312"/>
          <w:color w:val="000000" w:themeColor="text1"/>
          <w:sz w:val="32"/>
          <w:szCs w:val="32"/>
        </w:rPr>
        <w:t>等。</w:t>
      </w:r>
      <w:bookmarkEnd w:id="78"/>
      <w:bookmarkStart w:id="79" w:name="OLE_LINK84"/>
      <w:r>
        <w:rPr>
          <w:rFonts w:hint="eastAsia" w:ascii="仿宋_GB2312" w:eastAsia="仿宋_GB2312"/>
          <w:sz w:val="32"/>
          <w:szCs w:val="32"/>
        </w:rPr>
        <w:t>新疆喀什地区行政公署办公室</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127.7</w:t>
      </w:r>
      <w:r>
        <w:rPr>
          <w:rFonts w:hint="eastAsia" w:ascii="仿宋_GB2312" w:eastAsia="仿宋_GB2312"/>
          <w:color w:val="000000" w:themeColor="text1"/>
          <w:sz w:val="32"/>
          <w:szCs w:val="32"/>
        </w:rPr>
        <w:t>万元，决算数127.7万元</w:t>
      </w:r>
      <w:r>
        <w:rPr>
          <w:rFonts w:ascii="仿宋_GB2312" w:eastAsia="仿宋_GB2312"/>
          <w:color w:val="000000" w:themeColor="text1"/>
          <w:sz w:val="32"/>
          <w:szCs w:val="32"/>
        </w:rPr>
        <w:t>，预决算差异率0%，差异主要原因是:无差异。</w:t>
      </w:r>
      <w:bookmarkEnd w:id="80"/>
      <w:bookmarkStart w:id="81" w:name="OLE_LINK87"/>
      <w:bookmarkStart w:id="82" w:name="OLE_LINK86"/>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，预决算差异率0%，差异主要原因是:无差异；</w:t>
      </w:r>
      <w:bookmarkEnd w:id="81"/>
      <w:bookmarkEnd w:id="82"/>
      <w:bookmarkStart w:id="83" w:name="OLE_LINK88"/>
      <w:bookmarkStart w:id="84" w:name="OLE_LINK89"/>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，预决算差异率0%，差异主要原因是:无公务用车；</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127.7</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127.7</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，预决算差异率0%，差异主要原因是:无差异；</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无公务接待费。</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2018年度新疆喀什地区行政公署办公室机关运行经费支出212.9万元，与上年相比，减少303.57万元，下降58.78%，减少的主要原因是：压减机关运行经费支出，节约一般性开支以及地区信访局、安居办整体划出等。</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399.67</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81.71</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78.8</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239.16</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42</w:t>
      </w:r>
      <w:r>
        <w:rPr>
          <w:rFonts w:hint="eastAsia" w:ascii="仿宋_GB2312" w:eastAsia="仿宋_GB2312"/>
          <w:color w:val="000000" w:themeColor="text1"/>
          <w:sz w:val="32"/>
          <w:szCs w:val="32"/>
        </w:rPr>
        <w:t>辆，价值</w:t>
      </w:r>
      <w:r>
        <w:rPr>
          <w:rFonts w:hint="eastAsia" w:ascii="仿宋_GB2312" w:eastAsia="仿宋_GB2312"/>
          <w:sz w:val="32"/>
          <w:szCs w:val="32"/>
        </w:rPr>
        <w:t>1,078.21</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42</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机关车队公务用车；</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2</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喀什地区行署办公室按照绩效管理工作要求，设置了绩效管理工作人员，负责单位资金绩效指标值设置及自评工作，以及绩效管理过程中的各部门绩效实施监督工作。虽设立预算绩效管理工作领导小组，按照工作需要，向单位主要领导汇报并建议设立专门机构和人员，专门负责绩效管理和监控工作，并根据单位资金情况，做好年度绩效跟踪监控工作，确保单位的各项资金按预算按进度有效安全使用，发挥财政资金的最大效益。2018年按照地区财政要求，年初分别做了基本支出、本年预算项目及整体目标绩效目标，并根据预算追加和变更的情况进行修改目标绩效，每月按照项目执行情况填报绩效监控表，和年初绩效目标有偏差的进行偏差分析并及时出台纠偏措施。本次评价通过数据分析的方式，全面了解喀什地区行署办公室预算支出的使用效率和效果，绩效管理过程是否规范，是否完成了预期绩效目标等。同时，通过开展自我评价来总结经验和教训，为顺利持续实施喀什地区行署办公室绩效目标管理的工作奠定基础。</w:t>
      </w:r>
    </w:p>
    <w:p>
      <w:pPr>
        <w:spacing w:line="540" w:lineRule="exact"/>
        <w:ind w:left="-1" w:right="-1" w:firstLine="646"/>
        <w:jc w:val="left"/>
      </w:pPr>
      <w:r>
        <w:rPr>
          <w:rFonts w:ascii="仿宋_GB2312" w:hAnsi="仿宋_GB2312" w:eastAsia="仿宋_GB2312" w:cs="仿宋_GB2312"/>
          <w:sz w:val="32"/>
        </w:rPr>
        <w:t>1、机场贵宾室租赁项目绩效自评综述：根据年初设定的绩效目标，该项目绩效自评得分为86.7分。项目全年预算数为4万元，执行数为4万元，完成预算的100%。主要产出和效果：减少候机时间，提高出差登机的安全性，为公务人员能及时参会提供有力保障。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2、行署慰问驻喀部队项目绩效自评综述：根据年初设定的绩效目标，该项目绩效自评得分为87.1分。项目全年预算数为293.2万元，执行数为278万元，完成预算的94.82%。主要产出和效果：社会和谐和长治久安，提高社会宣传力度，促进共建友谊。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3、行署机关执勤武警保障项目绩效自评综述：根据年初设定的绩效目标，该项目绩效自评得分为83.6分。项目全年预算数为32.85万元，执行数为28.47万元，完成预算的86.67%。主要产出和效果：预防突发事件和治安灾害事故；提高安保人员综合素质，提高机关整体安全水平。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4、行署机关执勤门卫保障项目绩效自评综述：根据年初设定的绩效目标，该项目绩效自评得分为83.6分。项目全年预算数为32.85万元，执行数为28.47万元，完成预算的86.67%。主要产出和效果：预防犯罪和消除事故隐患，保障社会群众的安全；维护机关治安秩序，提高机关预警能力。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5、行署机关维护和谐项目绩效自评综述：根据年初设定的绩效目标，该项目绩效自评得分为87.7分。项目全年预算数为20万元，执行数为20万元，完成预算的100%。主要产出和效果：确保社会和谐和长治久安，优化社会政治结构，提高机关安全预警能力；使公众安全感指数达到100%。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6、行署电视视频电话会议项目绩效自评综述：根据年初设定的绩效目标，该项目绩效自评得分为86.7分。项目全年预算数为10万元，执行数为10万元，完成预算的100%。主要产出和效果：迅速做好上传下达任务工作，节约一半会议费。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7、电梯维护项目绩效自评综述：根据年初设定的绩效目标，该项目绩效自评得分为87.7分。项目全年预算数为3万元，执行数为3万元，完成预算的100%。主要产出和效果：便于群众办事，提高服务群众质量，保障电梯正常使用，消除安全隐患。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8、行署“电气化喀什”、固投促农村劳动力培训就业、固投协调领导小组办公室办公项目绩效自评综述：根据年初设定的绩效目标，该项目绩效自评得分为87.7分。项目全年预算数为3万元，执行数为3万元，完成预算的100%。主要产出和效果：提高人民群众生活安全指数，加强农村劳动力转移就业，提高工作质量，落实工作任务。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9、第六次全国对口支援新疆工作会议项目绩效自评综述：根据年初设定的绩效目标，该项目绩效自评得分为82分。项目全年预算数为461.93万元，执行数为204.66万元，完成预算的44.31%。主要产出和效果：促进喀什地区社会和谐和经济发展，推动喀什地区脱贫摘帽；使会议效果满意度达到95%。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10、地厅级领导公寓房项目绩效自评综述：根据年初设定的绩效目标，该项目绩效自评得分为86.7分。项目全年预算数为10万元，执行数为10万元，完成预算的100%。主要产出和效果：消除公寓房安全隐患。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11、地区领导差旅费项目绩效自评综述：根据年初设定的绩效目标，该项目绩效自评得分为86.9分。项目全年预算数为100万元，执行数为92.91万元，完成预算的92.91%。主要产出和效果：保证社会和谐和长治久安，打赢脱贫攻坚战，加强宣传惠民政策，加快社会经济发展，提高人民幸福指数；确保各项工作圆满完成。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12、地区处置非法集资办公室工作项目绩效自评综述：根据年初设定的绩效目标，该项目绩效自评得分为86.7分。项目全年预算数为5万元，执行数为5万元，完成预算的100%。主要产出和效果：解决社会纠纷，共建和谐社会，提高为人民服务宗旨，解决群众实际困难。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13、地区“两项”工作领导小组办公室项目绩效自评综述：根据年初设定的绩效目标，该项目绩效自评得分为86.7分。项目全年预算数为7.85万元，执行数为7.85万元，完成预算的100%。主要产出和效果：保证人口登记核实的准确性，规范了居民身份证的管理排查，确保社会和谐，提高工作质量。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14、公用水电费超支项目绩效自评综述：根据年初设定的绩效目标，该项目绩效自评得分为87.7分。项目全年预算数为20万元，执行数为20万元，完成预算的100%。主要产出和效果：推进建设节约型社会，防止水污染，保障行署机关水电的正常供应和使用安全。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15、地区数据信息管理办公室业务项目绩效自评综述：根据年初设定的绩效目标，该项目绩效自评得分为83.3分。项目全年预算数为20万元，执行数为11.73万元，完成预算的58.65%。主要产出和效果：满足地区数据信息采集管理办公室基本办公需要，提高数据信息采集管理办公室工作效率，促进统计工作信息化进程提升工作质量。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16、一般行政管理事务项目绩效自评综述：根据年初设定的绩效目标，该项目绩效自评得分为86.3分。项目全年预算数为9万元，执行数为9万元，完成预算的100%。主要产出和效果：确保各项业务工作顺利进行，各项工作正常运行，农产品展销如期展销，满意度达到100%。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17、信息拼图项目绩效自评综述：根据年初设定的绩效目标，该项目绩效自评得分为86.6分。项目全年预算数为30.18万元，执行数为30.18万元，完成预算的100%。主要产出和效果：保障办公人员各项工作正常运行，提高脱贫攻坚的效率。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18、中巴经济走廊喀什研究院第一期费用支出项目绩效自评综述：根据年初设定的绩效目标，该项目绩效自评得分为86.3分。项目全年预算数为100万元，执行数为100万元，完成预算的100%。主要产出和效果：积极推进国家“一带一路”倡议和“中巴经济走廊”建设。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19、第三方公司国庆假日游客统计项目绩效自评综述：根据年初设定的绩效目标，该项目绩效自评得分为86.6分。项目全年预算数为1万元，执行数为1万元，完成预算的100%。主要产出和效果：制定旅游业发展规划提供准确、详实的数据资料。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20、金融办就业办工作经费项目绩效自评综述：根据年初设定的绩效目标，该项目绩效自评得分为84.5分。项目全年预算数为30万元，执行数为30万元，完成预算的100%。主要产出和效果：强化学员就业工作的督促指导，强化常态化招商引资工作的督促推进，顺利完成就业10万人、直接招商不少于10家企业的目标。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21、第四次全国经济普查项目绩效自评综述：根据年初设定的绩效目标，该项目绩效自评得分为86.5分。项目全年预算数为10万元，执行数为10万元，完成预算的100%。主要产出和效果：完成第四次全国经济普查现场登记前各项准备工作，为地区二、三产业发展提供数据保障，提升地区经济发展决策和管理水平。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22、喀什地区统计行政管理费项目绩效自评综述：根据年初设定的绩效目标，该项目绩效自评得分为86.5分。项目全年预算数为19.31万元，执行数为19.31万元，完成预算的100%。主要产出和效果：确保统计数据准确，提升统计工作质量，为社会经济发展提供可靠数据保障。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23、2017年缺口项目绩效自评综述：根据年初设定的绩效目标，该项目绩效自评得分为87.7分。项目全年预算数为203.15万元，执行数为203.15万元，完成预算的100%。主要产出和效果：提高机关安全性，保障为民服务，加强监控覆盖范围，提高及时预警能力。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24、2018中国新疆喀什丝路文化胡杨节项目绩效自评综述：根据年初设定的绩效目标，该项目绩效自评得分为87.5分。项目全年预算数为26.66万元，执行数为26.66万元，完成预算的100%。主要产出和效果：喀什旅游影响力持续增强，游客满意度达到80%以上,为喀什旅游大发展打下坚实基础。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25、自治区在村工作项目绩效自评综述：根据年初设定的绩效目标，该项目绩效自评得分为86.7分。项目全年预算数为82.59万元，执行数为82.59万元，完成预算的100%。主要产出和效果：更好地为困难群众办实事好事，解决部分办公费等问题，引导9支在村工作人员聚焦脱贫攻坚、强化责任担当、确保在村工作人员安心在村、帮扶扎实、成效明显、群众满意。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26、旅游安全、执法工作专项检查项目绩效自评综述：根据年初设定的绩效目标，该项目绩效自评得分为85.7分。项目全年预算数为4.5万元，执行数为3.5万元，完成预算的77.78%。主要产出和效果：喀什地区游客安全感明显提高，游客满意度达到80%以上，净化旅游市场环境，确保旅游安全。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27、全国导游考试喀什考区考务项目绩效自评综述：根据年初设定的绩效目标，该项目绩效自评得分为87.7分。项目全年预算数为3.02万元，执行数为3.02万元，完成预算的100%。主要产出和效果：喀什地区导游员的专业知识与服务技能明显提高，喀什导游员队伍不断发展壮大，考生满意度95%。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28、喀什地区A级景区评定项目绩效自评综述：根据年初设定的绩效目标，该项目绩效自评得分为87.5分。项目全年预算数为1.21万元，执行数为1.21万元，完成预算的100%。主要产出和效果：喀什地区A级景区服务质量明显提高，游客满意度达到80%以上,为喀什旅游大发展打下坚实基础。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29、国家税务总局税务局经费项目绩效自评综述：根据年初设定的绩效目标，该项目绩效自评得分为86.7分。项目全年预算数为50万元，执行数为50万元，完成预算的100%。主要产出和效果：保障税收收入同本地区经济发展同步增长。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30、应急工作项目绩效自评综述：根据年初设定的绩效目标，该项目绩效自评得分为86.7分。项目全年预算数为5.4万元，执行数为5.4万元，完成预算的100%。主要产出和效果：加强社会公众应急宣传知识，提高应急应变综合水平能力。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31、业务工作项目绩效自评综述：根据年初设定的绩效目标，该项目绩效自评得分为87.7分。项目全年预算数为50万元，执行数为50万元，完成预算的100%。主要产出和效果：促进社会经济发展，保障各项工作正常运行；提高驾驶车辆安全性。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32、慰问运输部队项目绩效自评综述：根据年初设定的绩效目标，该项目绩效自评得分为86.7分。项目全年预算数为14.95万元，执行数为14.95万元，完成预算的100%。主要产出和效果：促进社会经济发展，增进军政军民团结。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33、工作项目绩效自评综述：根据年初设定的绩效目标，该项目绩效自评得分为87.7分。项目全年预算数为20万元，执行数为20万元，完成预算的100%。主要产出和效果：提高群众的思想政治觉悟；加强全心全意为人民服务的宗旨，走进群众心里。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34、喀什驻北京联络处项目绩效自评综述：根据年初设定的绩效目标，该项目绩效自评得分为86.7分。项目全年预算数为105万元，执行数为105万元，完成预算的100%。主要产出和效果：提高接待群众服务质量，加强工作效率；工作满意度达到98%。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35、“5•11”灾后住房重建工作项目绩效自评综述：根据年初设定的绩效目标，该项目绩效自评得分为87.7分。项目全年预算数为15.82万元，执行数为15.82万元，完成预算的100%。主要产出和效果：有效推进灾后重建进度，持续提高灾区快速恢复生产生活水平；使灾区群众满意度达到100%。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36、业务工作经费项目绩效自评综述：根据年初设定的绩效目标，该项目绩效自评得分为86.7分。项目全年预算数为1.21万元，执行数为1.21万元，完成预算的100%。主要产出和效果：进一步提高法制工作力度，推进法制社会建设进度；提高执法质量，营造良好法治社会氛围。发现的问题及原因：无存在问题。下一步改进措施：进一步做好项目绩效管理及绩效监控制度，合理分配资金使用效益，规范项目过程，为支出项目今后的开展提供参考意见。</w:t>
      </w:r>
    </w:p>
    <w:p>
      <w:pPr>
        <w:spacing w:line="540" w:lineRule="exact"/>
        <w:ind w:left="-1" w:right="-1" w:firstLine="646"/>
        <w:jc w:val="left"/>
      </w:pPr>
      <w:r>
        <w:rPr>
          <w:rFonts w:ascii="仿宋_GB2312" w:hAnsi="仿宋_GB2312" w:eastAsia="仿宋_GB2312" w:cs="仿宋_GB2312"/>
          <w:sz w:val="32"/>
        </w:rPr>
        <w:t>37、电子政务专网租赁项目绩效自评综述：根据年初设定的绩效目标，该项目绩效自评得分为83.7分。项目全年预算数为40万元，执行数为40万元，完成预算的100%。主要产出和效果：为企业和居民提供更好的服务，使企业和居民能够更好的参与政府的管理；增加办事执法的透明度，并自觉接受公众的监督；提供全新的技术支持和维护。发现的问题及原因：无存在问题。下一步改进措施：进一步做好项目绩效管理及绩效监控制度，合理分配资金使用效益，规范项目过程，为支出项目今后的开展提供参考意见。</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213（类）05（款）01（项）指：行政运行。213（类）05（款）02（项）指：一般行政管理事务。221（类）02（款）01（项）指：住房公积金。204（类）02（款）02（项）指：一般行政管理事务。208（类）05（款）05（项）指：机关事业单位基本养老保险缴费支出。201（类）05（款）01（项）指：行政运行。201（类）03（款）02（项）指：一般行政管理事务。201（类）05（款）02（项）指：一般行政管理事务。201（类）07（款）99（项）指：其他税收事务支出。201（类）03（款）07（项）指：法制建设。229（类）60（款）10（项）指：用于文化事业的彩票公益金支出。201（类）05（款）07（项）指：专项普查活动。201（类）03（款）50（项）指：事业运行。216（类）05（款）01（项）指：行政运行。216（类）05（款）02（项）指：一般行政管理事务。205（类）02（款）01（项）指：学前教育。229（类）99（款）01（项）指：其他支出。201（类）03（款）01（项）指：行政运行。201（类）14（款）01（项）指：行政运行。</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- 6 -</w:t>
    </w:r>
    <w:r>
      <w:rPr>
        <w:rStyle w:val="9"/>
        <w:rFonts w:ascii="宋体" w:hAnsi="宋体" w:eastAsia="宋体"/>
        <w:sz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dit="comments" w:enforcement="1" w:cryptProviderType="rsaFull" w:cryptAlgorithmClass="hash" w:cryptAlgorithmType="typeAny" w:cryptAlgorithmSid="4" w:cryptSpinCount="0" w:hash="BTcb0preTaGaEq+QKjbTlfU8JjY=" w:salt="p+Eka1Y8CLv+dldVNVn/9w=="/>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E714D"/>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E69A3"/>
    <w:rsid w:val="002F3234"/>
    <w:rsid w:val="002F4F3E"/>
    <w:rsid w:val="002F6039"/>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03A7"/>
    <w:rsid w:val="00411C55"/>
    <w:rsid w:val="00415648"/>
    <w:rsid w:val="00415BCE"/>
    <w:rsid w:val="0042015D"/>
    <w:rsid w:val="0042215C"/>
    <w:rsid w:val="00425950"/>
    <w:rsid w:val="00430B78"/>
    <w:rsid w:val="00434B06"/>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342B"/>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06D9"/>
    <w:rsid w:val="00AE5C1B"/>
    <w:rsid w:val="00AE79D8"/>
    <w:rsid w:val="00AE7BAC"/>
    <w:rsid w:val="00AF09FB"/>
    <w:rsid w:val="00B00C16"/>
    <w:rsid w:val="00B03B3E"/>
    <w:rsid w:val="00B046A4"/>
    <w:rsid w:val="00B06382"/>
    <w:rsid w:val="00B0733F"/>
    <w:rsid w:val="00B10701"/>
    <w:rsid w:val="00B146E7"/>
    <w:rsid w:val="00B23A90"/>
    <w:rsid w:val="00B30B86"/>
    <w:rsid w:val="00B32A4F"/>
    <w:rsid w:val="00B358E2"/>
    <w:rsid w:val="00B40CB6"/>
    <w:rsid w:val="00B50AD6"/>
    <w:rsid w:val="00B51AB3"/>
    <w:rsid w:val="00B5337C"/>
    <w:rsid w:val="00B5340F"/>
    <w:rsid w:val="00B54478"/>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03A1"/>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4F481E99"/>
    <w:rsid w:val="508941AD"/>
    <w:rsid w:val="50E65530"/>
    <w:rsid w:val="51457139"/>
    <w:rsid w:val="51574DBD"/>
    <w:rsid w:val="51EC1DA8"/>
    <w:rsid w:val="52FC5524"/>
    <w:rsid w:val="532D7A17"/>
    <w:rsid w:val="545F04C3"/>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0F77824"/>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2081</Words>
  <Characters>11868</Characters>
  <Lines>98</Lines>
  <Paragraphs>27</Paragraphs>
  <TotalTime>1</TotalTime>
  <ScaleCrop>false</ScaleCrop>
  <LinksUpToDate>false</LinksUpToDate>
  <CharactersWithSpaces>13922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2021-07-11T07:02:32Z</dcterms:modified>
  <cp:revision>820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