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AA3" w:rsidRDefault="00DB45E7">
      <w:pPr>
        <w:spacing w:line="540" w:lineRule="exact"/>
        <w:rPr>
          <w:rFonts w:ascii="黑体" w:eastAsia="黑体" w:hAnsi="黑体"/>
          <w:sz w:val="32"/>
          <w:szCs w:val="32"/>
        </w:rPr>
      </w:pPr>
      <w:r>
        <w:rPr>
          <w:rFonts w:ascii="黑体" w:eastAsia="黑体" w:hAnsi="黑体" w:hint="eastAsia"/>
          <w:sz w:val="32"/>
          <w:szCs w:val="32"/>
        </w:rPr>
        <w:t>附件1</w:t>
      </w:r>
      <w:r w:rsidR="00300B06">
        <w:rPr>
          <w:rFonts w:ascii="黑体" w:eastAsia="黑体" w:hAnsi="黑体" w:hint="eastAsia"/>
          <w:sz w:val="32"/>
          <w:szCs w:val="32"/>
        </w:rPr>
        <w:t>：</w:t>
      </w:r>
      <w:r w:rsidR="002E1B0E">
        <w:rPr>
          <w:rFonts w:ascii="黑体" w:eastAsia="黑体" w:hAnsi="黑体" w:hint="eastAsia"/>
          <w:sz w:val="32"/>
          <w:szCs w:val="32"/>
        </w:rPr>
        <w:t xml:space="preserve"> </w:t>
      </w:r>
    </w:p>
    <w:p w:rsidR="00300B06" w:rsidRDefault="00300B06">
      <w:pPr>
        <w:spacing w:line="540" w:lineRule="exact"/>
        <w:rPr>
          <w:rFonts w:ascii="方正小标宋_GBK" w:eastAsia="方正小标宋_GBK" w:hAnsi="宋体"/>
          <w:sz w:val="44"/>
          <w:szCs w:val="44"/>
        </w:rPr>
      </w:pP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2018年度新疆维吾尔自治区喀什地区审计局</w:t>
      </w:r>
      <w:r w:rsidR="00F703C3">
        <w:rPr>
          <w:rFonts w:ascii="方正小标宋_GBK" w:eastAsia="方正小标宋_GBK" w:hAnsi="宋体" w:hint="eastAsia"/>
          <w:sz w:val="44"/>
          <w:szCs w:val="44"/>
        </w:rPr>
        <w:t>部门</w:t>
      </w:r>
      <w:r>
        <w:rPr>
          <w:rFonts w:ascii="方正小标宋_GBK" w:eastAsia="方正小标宋_GBK" w:hAnsi="宋体" w:hint="eastAsia"/>
          <w:sz w:val="44"/>
          <w:szCs w:val="44"/>
        </w:rPr>
        <w:t>决算</w:t>
      </w: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184AA3" w:rsidRDefault="00184AA3">
      <w:pPr>
        <w:spacing w:line="540" w:lineRule="exact"/>
        <w:rPr>
          <w:rFonts w:ascii="仿宋_GB2312" w:eastAsia="仿宋_GB2312" w:hAnsi="宋体"/>
          <w:sz w:val="32"/>
          <w:szCs w:val="32"/>
        </w:rPr>
      </w:pPr>
    </w:p>
    <w:p w:rsidR="00184AA3" w:rsidRDefault="00DB45E7">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  录</w:t>
      </w:r>
    </w:p>
    <w:p w:rsidR="00184AA3" w:rsidRDefault="00184AA3">
      <w:pPr>
        <w:spacing w:line="540" w:lineRule="exact"/>
        <w:rPr>
          <w:rFonts w:ascii="仿宋_GB2312" w:eastAsia="仿宋_GB2312" w:hAnsi="宋体"/>
          <w:b/>
          <w:kern w:val="0"/>
          <w:sz w:val="32"/>
          <w:szCs w:val="32"/>
        </w:rPr>
      </w:pP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 部门单位概况</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六、政府采购情况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184AA3" w:rsidRDefault="00DB45E7">
      <w:pPr>
        <w:spacing w:line="540" w:lineRule="exact"/>
        <w:ind w:firstLineChars="200" w:firstLine="640"/>
        <w:rPr>
          <w:rFonts w:ascii="仿宋_GB2312" w:eastAsia="仿宋_GB2312"/>
          <w:sz w:val="32"/>
          <w:szCs w:val="32"/>
        </w:rPr>
      </w:pPr>
      <w:bookmarkStart w:id="0" w:name="OLE_LINK94"/>
      <w:bookmarkStart w:id="1" w:name="OLE_LINK95"/>
      <w:r>
        <w:rPr>
          <w:rFonts w:ascii="仿宋_GB2312" w:eastAsia="仿宋_GB2312" w:hint="eastAsia"/>
          <w:sz w:val="32"/>
          <w:szCs w:val="32"/>
        </w:rPr>
        <w:t>（一）国有资产占用情况说明</w:t>
      </w:r>
      <w:bookmarkEnd w:id="0"/>
      <w:bookmarkEnd w:id="1"/>
    </w:p>
    <w:p w:rsidR="00184AA3" w:rsidRDefault="00DB45E7">
      <w:pPr>
        <w:spacing w:line="540" w:lineRule="exact"/>
        <w:ind w:firstLineChars="200" w:firstLine="640"/>
        <w:rPr>
          <w:rFonts w:ascii="仿宋_GB2312" w:eastAsia="仿宋_GB2312"/>
          <w:sz w:val="32"/>
          <w:szCs w:val="32"/>
        </w:rPr>
      </w:pPr>
      <w:bookmarkStart w:id="2" w:name="OLE_LINK96"/>
      <w:r>
        <w:rPr>
          <w:rFonts w:ascii="仿宋_GB2312" w:eastAsia="仿宋_GB2312" w:hint="eastAsia"/>
          <w:sz w:val="32"/>
          <w:szCs w:val="32"/>
        </w:rPr>
        <w:t>（二）预算绩效情况的说明</w:t>
      </w:r>
      <w:bookmarkEnd w:id="2"/>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w:t>
      </w:r>
      <w:r>
        <w:rPr>
          <w:rFonts w:ascii="黑体" w:eastAsia="黑体" w:hAnsi="黑体" w:hint="eastAsia"/>
          <w:sz w:val="32"/>
          <w:szCs w:val="32"/>
        </w:rPr>
        <w:t>门决算公开的8张报表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184AA3" w:rsidRDefault="00DB45E7">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184AA3" w:rsidRDefault="00184AA3">
      <w:pPr>
        <w:spacing w:line="540" w:lineRule="exact"/>
        <w:ind w:firstLineChars="200" w:firstLine="640"/>
        <w:rPr>
          <w:rFonts w:ascii="黑体" w:eastAsia="黑体" w:hAnsi="黑体"/>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第一部分 部门单位概况</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184AA3" w:rsidRDefault="00DB45E7">
      <w:pPr>
        <w:spacing w:line="500" w:lineRule="exact"/>
        <w:rPr>
          <w:rFonts w:ascii="黑体" w:eastAsia="黑体" w:hAnsi="黑体" w:cs="宋体"/>
          <w:bCs/>
          <w:kern w:val="0"/>
          <w:sz w:val="32"/>
          <w:szCs w:val="32"/>
        </w:rPr>
      </w:pPr>
      <w:r>
        <w:rPr>
          <w:rFonts w:ascii="仿宋_GB2312" w:eastAsia="仿宋_GB2312" w:hint="eastAsia"/>
          <w:sz w:val="32"/>
          <w:szCs w:val="32"/>
        </w:rPr>
        <w:t xml:space="preserve">    喀什地区审计局贯彻落实党中央、自治区党委关于审计工作的方针政策和决策部署以及地委工作要求，在履行职责过程中坚持和加强党对审计工作的集中统一领导。主要职责是。</w:t>
      </w:r>
      <w:r>
        <w:rPr>
          <w:rFonts w:ascii="仿宋_GB2312" w:eastAsia="仿宋_GB2312" w:hint="eastAsia"/>
          <w:sz w:val="32"/>
          <w:szCs w:val="32"/>
        </w:rPr>
        <w:br/>
        <w:t xml:space="preserve">    1、主管全地区审计工作。负责对全地区财政收支和法律法规规定属于审计监督范围的财务收支的真实、合法和效益进行审计监督，对公共资金、国有资产、国有资源和领导干部履行经济责任情况实行审计全覆盖，对领导干部实行自然资源资产离任审计，对国家有</w:t>
      </w:r>
      <w:r>
        <w:rPr>
          <w:rFonts w:ascii="仿宋_GB2312" w:eastAsia="仿宋_GB2312" w:hint="eastAsia"/>
          <w:sz w:val="32"/>
          <w:szCs w:val="32"/>
        </w:rPr>
        <w:lastRenderedPageBreak/>
        <w:t>关重大政策措施贯彻落实情况进行跟踪审计。对审计、专项审计调查和核查社会审计机构相关审计报告的结果承担责任，并负有督促被审计单位整改的责任。</w:t>
      </w:r>
      <w:r>
        <w:rPr>
          <w:rFonts w:ascii="仿宋_GB2312" w:eastAsia="仿宋_GB2312" w:hint="eastAsia"/>
          <w:sz w:val="32"/>
          <w:szCs w:val="32"/>
        </w:rPr>
        <w:br/>
        <w:t xml:space="preserve">    2、贯彻执行审计法律法规规章、国家审计准则和指南并监督执行。制定并组织实施专业领域审计工作规划。对直接审计、调查和核查的事项依法进行审计评价。作出审计决定或提出审计建议。</w:t>
      </w:r>
      <w:r>
        <w:rPr>
          <w:rFonts w:ascii="仿宋_GB2312" w:eastAsia="仿宋_GB2312" w:hint="eastAsia"/>
          <w:sz w:val="32"/>
          <w:szCs w:val="32"/>
        </w:rPr>
        <w:br/>
        <w:t xml:space="preserve">    3、向地委审计委员会提出年度地区预算执行和其他财政支出情况审计报告。向地区行政公署提出年度地区预算执行和其他财政收支情况的审计结果报告。受行政公署委托向地区人大工委提出地区本级预算执行和其他财政收支情况的审计工作报告、审计查出问题整改情况报告。向地委、行署报告对其他事项的审计和专项审计调查情况及结果。依法向社会公布审计结果。向地区有关部门、县市党委和人民政府通报审计情况和审计结果。</w:t>
      </w:r>
      <w:r>
        <w:rPr>
          <w:rFonts w:ascii="仿宋_GB2312" w:eastAsia="仿宋_GB2312" w:hint="eastAsia"/>
          <w:sz w:val="32"/>
          <w:szCs w:val="32"/>
        </w:rPr>
        <w:br/>
        <w:t xml:space="preserve">    4、直接审计下列事项，出具审计报告，在法定职权范围内作出审计决定，包括国家有关重大政策措施贯彻落实情况；地区本级预算执行情况和其他财政收支，地区本级各部门（含直属单位）预算执行情况、决算草案和其他财政收支，地区本级财政转移支付资金；县市预算执行情况、决算草案和其他财政收支；使用地区财政资金的事业单位和社会团体的财务收支；国家投资和以国家投资为主的建设项目的预算执行情况和决算；国家重大公共工程项目的资金管理使用和建设运营情况；自然资源管理、污染防治和生态保护与修复情况；地区国有企业和金融机构、地区行政公署规定的国有资本占控股或占主导地位的企业和金融机构境内外资产、负债和损益；有关社会保障基金、社会捐赠资金及其他基金、资金的财务收支；国际组织和外国政府援助、贷款项目；法律法规规定的其他事项。</w:t>
      </w:r>
      <w:r>
        <w:rPr>
          <w:rFonts w:ascii="仿宋_GB2312" w:eastAsia="仿宋_GB2312" w:hint="eastAsia"/>
          <w:sz w:val="32"/>
          <w:szCs w:val="32"/>
        </w:rPr>
        <w:br/>
      </w:r>
      <w:r>
        <w:rPr>
          <w:rFonts w:ascii="仿宋_GB2312" w:eastAsia="仿宋_GB2312" w:hint="eastAsia"/>
          <w:sz w:val="32"/>
          <w:szCs w:val="32"/>
        </w:rPr>
        <w:lastRenderedPageBreak/>
        <w:t xml:space="preserve">    5、按规定对属于本级审计机关审计监督对象的党政主要领导干部及其他单位主要负责人实施经济责任审计和自然资源资产离任审计。</w:t>
      </w:r>
      <w:r>
        <w:rPr>
          <w:rFonts w:ascii="仿宋_GB2312" w:eastAsia="仿宋_GB2312" w:hint="eastAsia"/>
          <w:sz w:val="32"/>
          <w:szCs w:val="32"/>
        </w:rPr>
        <w:br/>
        <w:t xml:space="preserve">    6、组织实施对国家财经法律法规、规章、政策和宏观调控措施执行情况、财政预算管理及国有资产管理使用等与国家财政收支有关的事项进行专项审计调查。</w:t>
      </w:r>
      <w:r>
        <w:rPr>
          <w:rFonts w:ascii="仿宋_GB2312" w:eastAsia="仿宋_GB2312" w:hint="eastAsia"/>
          <w:sz w:val="32"/>
          <w:szCs w:val="32"/>
        </w:rPr>
        <w:br/>
        <w:t xml:space="preserve">    7、依法检查审计决定执行情况，督促整改审计查出的问题，依法办理被审计单位对审计决定提请行政复议、行政诉讼或地区行政公署裁决中的有关事项，协助配合有关部门查处相关重大案件。</w:t>
      </w:r>
      <w:r>
        <w:rPr>
          <w:rFonts w:ascii="仿宋_GB2312" w:eastAsia="仿宋_GB2312" w:hint="eastAsia"/>
          <w:sz w:val="32"/>
          <w:szCs w:val="32"/>
        </w:rPr>
        <w:br/>
        <w:t xml:space="preserve">    8、指导和监督内部审计工作，核查社会审计机构对依法属于审计监督对象的单位出具的相关审计报告。</w:t>
      </w:r>
      <w:r>
        <w:rPr>
          <w:rFonts w:ascii="仿宋_GB2312" w:eastAsia="仿宋_GB2312" w:hint="eastAsia"/>
          <w:sz w:val="32"/>
          <w:szCs w:val="32"/>
        </w:rPr>
        <w:br/>
        <w:t xml:space="preserve">    9、与县市党委和政府共同领导县市审计机关。依法领导和监督县市审计机关的业务，组织县市审计机关实施特定项目的专项审计或审计调查，纠正或责成纠正县市审计机关违反国家规定作出的审计决定。按照干部管理权限协管县市审计机关负责人。</w:t>
      </w:r>
      <w:r>
        <w:rPr>
          <w:rFonts w:ascii="仿宋_GB2312" w:eastAsia="仿宋_GB2312" w:hint="eastAsia"/>
          <w:sz w:val="32"/>
          <w:szCs w:val="32"/>
        </w:rPr>
        <w:br/>
        <w:t xml:space="preserve">    10、指导和推广信息技术在审计领域的应用。</w:t>
      </w:r>
      <w:r>
        <w:rPr>
          <w:rFonts w:ascii="仿宋_GB2312" w:eastAsia="仿宋_GB2312" w:hint="eastAsia"/>
          <w:sz w:val="32"/>
          <w:szCs w:val="32"/>
        </w:rPr>
        <w:br/>
        <w:t xml:space="preserve">    11、完成地委、行署交办的其他任务。</w:t>
      </w:r>
      <w:r>
        <w:rPr>
          <w:rFonts w:ascii="仿宋_GB2312" w:eastAsia="仿宋_GB2312" w:hint="eastAsia"/>
          <w:sz w:val="32"/>
          <w:szCs w:val="32"/>
        </w:rPr>
        <w:br/>
        <w:t xml:space="preserve">    12、职能转变。进一步完善地区审计管理体制，加强全地区审计工作统筹，明晰各级审计机关职能定位，理顺内部职责关系，优化审计资源配置，充实加强一线审计力量，构建集中统一、全面覆盖、权威高效的审计监督体系。优化审计工作机制，坚持科技强审，完善业务流程，改进工作方式，加强与相关部门的沟通协调，充分调动内部审计和社会审计力量，增强监督合力。 </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rsidR="00184AA3" w:rsidRDefault="00DB45E7">
      <w:pPr>
        <w:spacing w:line="540" w:lineRule="exact"/>
        <w:ind w:firstLineChars="200" w:firstLine="640"/>
        <w:rPr>
          <w:rFonts w:ascii="仿宋_GB2312" w:eastAsia="仿宋_GB2312" w:hAnsi="宋体" w:cs="宋体"/>
          <w:kern w:val="0"/>
          <w:sz w:val="32"/>
          <w:szCs w:val="32"/>
        </w:rPr>
      </w:pPr>
      <w:bookmarkStart w:id="3" w:name="OLE_LINK51"/>
      <w:r>
        <w:rPr>
          <w:rFonts w:ascii="仿宋_GB2312" w:eastAsia="仿宋_GB2312" w:hint="eastAsia"/>
          <w:sz w:val="32"/>
          <w:szCs w:val="32"/>
        </w:rPr>
        <w:t>从决算单位构成看，</w:t>
      </w:r>
      <w:r>
        <w:rPr>
          <w:rFonts w:ascii="仿宋_GB2312" w:eastAsia="仿宋_GB2312"/>
          <w:sz w:val="32"/>
          <w:szCs w:val="32"/>
        </w:rPr>
        <w:t>新疆维吾尔自治区喀什地区审计局</w:t>
      </w:r>
      <w:r>
        <w:rPr>
          <w:rFonts w:ascii="仿宋_GB2312" w:eastAsia="仿宋_GB2312" w:hint="eastAsia"/>
          <w:sz w:val="32"/>
          <w:szCs w:val="32"/>
        </w:rPr>
        <w:t>部门决</w:t>
      </w:r>
      <w:r>
        <w:rPr>
          <w:rFonts w:ascii="仿宋_GB2312" w:eastAsia="仿宋_GB2312" w:hint="eastAsia"/>
          <w:sz w:val="32"/>
          <w:szCs w:val="32"/>
        </w:rPr>
        <w:lastRenderedPageBreak/>
        <w:t>算包括：</w:t>
      </w:r>
      <w:r>
        <w:rPr>
          <w:rFonts w:ascii="仿宋_GB2312" w:eastAsia="仿宋_GB2312"/>
          <w:sz w:val="32"/>
          <w:szCs w:val="32"/>
        </w:rPr>
        <w:t>新疆维吾尔自治区喀什地区审计局</w:t>
      </w:r>
      <w:r>
        <w:rPr>
          <w:rFonts w:ascii="仿宋_GB2312" w:eastAsia="仿宋_GB2312" w:hint="eastAsia"/>
          <w:sz w:val="32"/>
          <w:szCs w:val="32"/>
        </w:rPr>
        <w:t>部门本级决算、所属单位决算等。</w:t>
      </w:r>
    </w:p>
    <w:p w:rsidR="00184AA3" w:rsidRDefault="00DB45E7" w:rsidP="00B06382">
      <w:pPr>
        <w:spacing w:line="540" w:lineRule="exact"/>
        <w:ind w:firstLineChars="200" w:firstLine="640"/>
        <w:rPr>
          <w:rFonts w:ascii="仿宋_GB2312" w:eastAsia="仿宋_GB2312"/>
          <w:spacing w:val="-6"/>
          <w:sz w:val="32"/>
          <w:szCs w:val="32"/>
        </w:rPr>
      </w:pPr>
      <w:r>
        <w:rPr>
          <w:rFonts w:ascii="仿宋_GB2312" w:eastAsia="仿宋_GB2312" w:hint="eastAsia"/>
          <w:sz w:val="32"/>
          <w:szCs w:val="32"/>
        </w:rPr>
        <w:t>纳入</w:t>
      </w:r>
      <w:r>
        <w:rPr>
          <w:rFonts w:ascii="仿宋_GB2312" w:eastAsia="仿宋_GB2312"/>
          <w:sz w:val="32"/>
          <w:szCs w:val="32"/>
        </w:rPr>
        <w:t>新疆维吾尔自治区喀什地区审计局</w:t>
      </w:r>
      <w:r>
        <w:rPr>
          <w:rFonts w:ascii="仿宋_GB2312" w:eastAsia="仿宋_GB2312" w:hint="eastAsia"/>
          <w:sz w:val="32"/>
          <w:szCs w:val="32"/>
        </w:rPr>
        <w:t>2018年部门决算编制范围的单位名单见下表</w:t>
      </w:r>
      <w:r>
        <w:rPr>
          <w:rFonts w:ascii="仿宋_GB2312" w:eastAsia="仿宋_GB2312" w:hint="eastAsia"/>
          <w:spacing w:val="-6"/>
          <w:sz w:val="32"/>
          <w:szCs w:val="32"/>
        </w:rPr>
        <w:t>：</w:t>
      </w:r>
      <w:bookmarkEnd w:id="3"/>
    </w:p>
    <w:p w:rsidR="00B06382" w:rsidRDefault="00B06382" w:rsidP="00B06382">
      <w:pPr>
        <w:spacing w:line="540" w:lineRule="exact"/>
        <w:ind w:firstLineChars="200" w:firstLine="616"/>
        <w:rPr>
          <w:rFonts w:ascii="仿宋_GB2312" w:eastAsia="仿宋_GB2312"/>
          <w:spacing w:val="-6"/>
          <w:sz w:val="32"/>
          <w:szCs w:val="32"/>
        </w:rPr>
      </w:pPr>
    </w:p>
    <w:p w:rsidR="00305C33" w:rsidRDefault="00305C33" w:rsidP="00B06382">
      <w:pPr>
        <w:spacing w:line="540" w:lineRule="exact"/>
        <w:ind w:firstLineChars="200" w:firstLine="616"/>
        <w:rPr>
          <w:rFonts w:ascii="仿宋_GB2312" w:eastAsia="仿宋_GB2312"/>
          <w:spacing w:val="-6"/>
          <w:sz w:val="32"/>
          <w:szCs w:val="3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6"/>
        <w:gridCol w:w="3870"/>
        <w:gridCol w:w="2538"/>
      </w:tblGrid>
      <w:tr w:rsidR="00184AA3">
        <w:trPr>
          <w:trHeight w:hRule="exact" w:val="510"/>
        </w:trPr>
        <w:tc>
          <w:tcPr>
            <w:tcW w:w="3056"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序号</w:t>
            </w:r>
          </w:p>
        </w:tc>
        <w:tc>
          <w:tcPr>
            <w:tcW w:w="3870"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单位名称</w:t>
            </w:r>
          </w:p>
        </w:tc>
        <w:tc>
          <w:tcPr>
            <w:tcW w:w="2538" w:type="dxa"/>
            <w:vAlign w:val="center"/>
          </w:tcPr>
          <w:p w:rsidR="00184AA3" w:rsidRDefault="00DB45E7">
            <w:pPr>
              <w:spacing w:line="500" w:lineRule="exact"/>
              <w:ind w:firstLineChars="400" w:firstLine="1280"/>
              <w:rPr>
                <w:rFonts w:ascii="仿宋_GB2312" w:eastAsia="仿宋_GB2312"/>
                <w:color w:val="000000" w:themeColor="text1"/>
                <w:sz w:val="32"/>
                <w:szCs w:val="32"/>
                <w:highlight w:val="yellow"/>
              </w:rPr>
            </w:pPr>
            <w:r>
              <w:rPr>
                <w:rFonts w:ascii="仿宋_GB2312" w:eastAsia="仿宋_GB2312" w:hint="eastAsia"/>
                <w:color w:val="000000" w:themeColor="text1"/>
                <w:sz w:val="32"/>
                <w:szCs w:val="32"/>
              </w:rPr>
              <w:t>备注</w:t>
            </w:r>
          </w:p>
        </w:tc>
      </w:tr>
      <w:tr w:rsidR="003242F9">
        <w:tc>
          <w:tcPr>
            <w:tcW w:w="3056" w:type="dxa"/>
          </w:tcPr>
          <w:p w:rsidR="003242F9" w:rsidRDefault="005F5F3F">
            <w:pPr>
              <w:spacing w:line="500" w:lineRule="exact"/>
              <w:ind w:firstLineChars="200" w:firstLine="640"/>
              <w:jc w:val="left"/>
            </w:pPr>
            <w:r>
              <w:rPr>
                <w:rFonts w:ascii="仿宋_GB2312" w:eastAsia="仿宋_GB2312"/>
                <w:position w:val="-1"/>
                <w:sz w:val="32"/>
              </w:rPr>
              <w:t>1</w:t>
            </w:r>
          </w:p>
        </w:tc>
        <w:tc>
          <w:tcPr>
            <w:tcW w:w="3870" w:type="dxa"/>
          </w:tcPr>
          <w:p w:rsidR="003242F9" w:rsidRDefault="005F5F3F">
            <w:pPr>
              <w:spacing w:line="500" w:lineRule="exact"/>
              <w:ind w:firstLineChars="200" w:firstLine="640"/>
              <w:jc w:val="left"/>
            </w:pPr>
            <w:r>
              <w:rPr>
                <w:rFonts w:ascii="仿宋_GB2312" w:eastAsia="仿宋_GB2312"/>
                <w:position w:val="-1"/>
                <w:sz w:val="32"/>
              </w:rPr>
              <w:t>新疆维吾尔自治区喀什地区审计局</w:t>
            </w:r>
          </w:p>
        </w:tc>
        <w:tc>
          <w:tcPr>
            <w:tcW w:w="2538" w:type="dxa"/>
            <w:vAlign w:val="center"/>
          </w:tcPr>
          <w:p w:rsidR="003242F9" w:rsidRDefault="003242F9">
            <w:pPr>
              <w:spacing w:line="500" w:lineRule="exact"/>
              <w:ind w:firstLineChars="200" w:firstLine="640"/>
              <w:jc w:val="left"/>
            </w:pPr>
          </w:p>
        </w:tc>
      </w:tr>
    </w:tbl>
    <w:p w:rsidR="00184AA3" w:rsidRDefault="00184AA3">
      <w:pPr>
        <w:spacing w:line="500" w:lineRule="exact"/>
        <w:rPr>
          <w:rFonts w:ascii="仿宋_GB2312" w:eastAsia="仿宋_GB2312" w:hAnsi="宋体" w:cs="宋体"/>
          <w:kern w:val="0"/>
          <w:sz w:val="32"/>
          <w:szCs w:val="32"/>
        </w:rPr>
      </w:pPr>
    </w:p>
    <w:p w:rsidR="004E678C" w:rsidRDefault="004E678C">
      <w:pPr>
        <w:spacing w:line="500" w:lineRule="exact"/>
        <w:rPr>
          <w:rFonts w:ascii="仿宋_GB2312" w:eastAsia="仿宋_GB2312" w:hAnsi="宋体" w:cs="宋体"/>
          <w:kern w:val="0"/>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第二部分 部门决算情况说明</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一、部门收支总体情况</w:t>
      </w:r>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（一）部门收入支出决算总体情况说明</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bookmarkStart w:id="4" w:name="OLE_LINK100"/>
      <w:bookmarkStart w:id="5" w:name="OLE_LINK99"/>
      <w:bookmarkStart w:id="6" w:name="OLE_LINK52"/>
      <w:r>
        <w:rPr>
          <w:rFonts w:ascii="仿宋_GB2312" w:eastAsia="仿宋_GB2312" w:hint="eastAsia"/>
          <w:color w:val="000000" w:themeColor="text1"/>
          <w:sz w:val="32"/>
          <w:szCs w:val="32"/>
        </w:rPr>
        <w:t>2018年度收入</w:t>
      </w:r>
      <w:r>
        <w:rPr>
          <w:rFonts w:ascii="仿宋_GB2312" w:eastAsia="仿宋_GB2312" w:hint="eastAsia"/>
          <w:sz w:val="32"/>
          <w:szCs w:val="32"/>
        </w:rPr>
        <w:t>1,121.61</w:t>
      </w:r>
      <w:r>
        <w:rPr>
          <w:rFonts w:ascii="仿宋_GB2312" w:eastAsia="仿宋_GB2312" w:hint="eastAsia"/>
          <w:color w:val="000000" w:themeColor="text1"/>
          <w:sz w:val="32"/>
          <w:szCs w:val="32"/>
        </w:rPr>
        <w:t>万元</w:t>
      </w:r>
      <w:bookmarkEnd w:id="4"/>
      <w:bookmarkEnd w:id="5"/>
      <w:r>
        <w:rPr>
          <w:rFonts w:ascii="仿宋_GB2312" w:eastAsia="仿宋_GB2312" w:hint="eastAsia"/>
          <w:sz w:val="32"/>
          <w:szCs w:val="32"/>
        </w:rPr>
        <w:t>，与上年相比，增加101.29万元，增长9.93%，增加的主要原因是：</w:t>
      </w:r>
      <w:r>
        <w:rPr>
          <w:rFonts w:ascii="仿宋_GB2312" w:eastAsia="仿宋_GB2312" w:hint="eastAsia"/>
          <w:color w:val="000000" w:themeColor="text1"/>
          <w:sz w:val="32"/>
          <w:szCs w:val="32"/>
        </w:rPr>
        <w:t>脱贫攻坚扶贫项目审计规模增大、人员工资调整人员增加及抚恤金增加；</w:t>
      </w:r>
      <w:bookmarkStart w:id="7" w:name="OLE_LINK53"/>
      <w:bookmarkEnd w:id="6"/>
      <w:r>
        <w:rPr>
          <w:rFonts w:ascii="仿宋_GB2312" w:eastAsia="仿宋_GB2312" w:hint="eastAsia"/>
          <w:color w:val="000000" w:themeColor="text1"/>
          <w:sz w:val="32"/>
          <w:szCs w:val="32"/>
        </w:rPr>
        <w:t>支出</w:t>
      </w:r>
      <w:r>
        <w:rPr>
          <w:rFonts w:ascii="仿宋_GB2312" w:eastAsia="仿宋_GB2312" w:hint="eastAsia"/>
          <w:sz w:val="32"/>
          <w:szCs w:val="32"/>
        </w:rPr>
        <w:t>1,121.61</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，与上年相比，增加101.29万元，增长9.93%，增加的主要原因是：</w:t>
      </w:r>
      <w:r>
        <w:rPr>
          <w:rFonts w:ascii="仿宋_GB2312" w:eastAsia="仿宋_GB2312" w:hint="eastAsia"/>
          <w:color w:val="000000" w:themeColor="text1"/>
          <w:sz w:val="32"/>
          <w:szCs w:val="32"/>
        </w:rPr>
        <w:t>脱贫攻坚扶贫项目审计规模增大、人员工资调整人员增加及抚恤金增加；</w:t>
      </w:r>
      <w:bookmarkStart w:id="8" w:name="OLE_LINK54"/>
      <w:bookmarkEnd w:id="7"/>
      <w:r>
        <w:rPr>
          <w:rFonts w:ascii="仿宋_GB2312" w:eastAsia="仿宋_GB2312" w:hint="eastAsia"/>
          <w:color w:val="000000" w:themeColor="text1"/>
          <w:sz w:val="32"/>
          <w:szCs w:val="32"/>
        </w:rPr>
        <w:t>结余</w:t>
      </w:r>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color w:val="000000" w:themeColor="text1"/>
          <w:sz w:val="32"/>
          <w:szCs w:val="32"/>
        </w:rPr>
        <w:t>无变化。</w:t>
      </w:r>
      <w:bookmarkEnd w:id="8"/>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（二）部门收入总体情况说明</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本年收入合计</w:t>
      </w:r>
      <w:r>
        <w:rPr>
          <w:rFonts w:ascii="仿宋_GB2312" w:eastAsia="仿宋_GB2312" w:hint="eastAsia"/>
          <w:sz w:val="32"/>
          <w:szCs w:val="32"/>
        </w:rPr>
        <w:t>1,121.61</w:t>
      </w:r>
      <w:r>
        <w:rPr>
          <w:rFonts w:ascii="仿宋_GB2312" w:eastAsia="仿宋_GB2312" w:hint="eastAsia"/>
          <w:color w:val="000000" w:themeColor="text1"/>
          <w:sz w:val="32"/>
          <w:szCs w:val="32"/>
        </w:rPr>
        <w:t>万元，其中：</w:t>
      </w:r>
      <w:bookmarkStart w:id="9" w:name="OLE_LINK1"/>
      <w:r>
        <w:rPr>
          <w:rFonts w:ascii="仿宋_GB2312" w:eastAsia="仿宋_GB2312" w:hint="eastAsia"/>
          <w:color w:val="000000" w:themeColor="text1"/>
          <w:sz w:val="32"/>
          <w:szCs w:val="32"/>
        </w:rPr>
        <w:t>财政拨款收入</w:t>
      </w:r>
      <w:bookmarkEnd w:id="9"/>
      <w:r>
        <w:rPr>
          <w:rFonts w:ascii="仿宋_GB2312" w:eastAsia="仿宋_GB2312" w:hint="eastAsia"/>
          <w:sz w:val="32"/>
          <w:szCs w:val="32"/>
        </w:rPr>
        <w:t>1,121.61</w:t>
      </w:r>
      <w:r>
        <w:rPr>
          <w:rFonts w:ascii="仿宋_GB2312" w:eastAsia="仿宋_GB2312" w:hint="eastAsia"/>
          <w:color w:val="000000" w:themeColor="text1"/>
          <w:sz w:val="32"/>
          <w:szCs w:val="32"/>
        </w:rPr>
        <w:lastRenderedPageBreak/>
        <w:t>万元，占</w:t>
      </w:r>
      <w:r>
        <w:rPr>
          <w:rFonts w:ascii="仿宋_GB2312" w:eastAsia="仿宋_GB2312" w:hint="eastAsia"/>
          <w:sz w:val="32"/>
          <w:szCs w:val="32"/>
        </w:rPr>
        <w:t>100%</w:t>
      </w:r>
      <w:r>
        <w:rPr>
          <w:rFonts w:ascii="仿宋_GB2312" w:eastAsia="仿宋_GB2312" w:hint="eastAsia"/>
          <w:color w:val="000000" w:themeColor="text1"/>
          <w:sz w:val="32"/>
          <w:szCs w:val="32"/>
        </w:rPr>
        <w:t>；</w:t>
      </w:r>
      <w:bookmarkStart w:id="10" w:name="OLE_LINK2"/>
      <w:r>
        <w:rPr>
          <w:rFonts w:ascii="仿宋_GB2312" w:eastAsia="仿宋_GB2312" w:hint="eastAsia"/>
          <w:color w:val="000000" w:themeColor="text1"/>
          <w:sz w:val="32"/>
          <w:szCs w:val="32"/>
        </w:rPr>
        <w:t>上级补助收入</w:t>
      </w:r>
      <w:bookmarkEnd w:id="10"/>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1" w:name="OLE_LINK3"/>
      <w:r>
        <w:rPr>
          <w:rFonts w:ascii="仿宋_GB2312" w:eastAsia="仿宋_GB2312" w:hint="eastAsia"/>
          <w:color w:val="000000" w:themeColor="text1"/>
          <w:sz w:val="32"/>
          <w:szCs w:val="32"/>
        </w:rPr>
        <w:t>事业收入</w:t>
      </w:r>
      <w:bookmarkEnd w:id="11"/>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2" w:name="OLE_LINK4"/>
      <w:r>
        <w:rPr>
          <w:rFonts w:ascii="仿宋_GB2312" w:eastAsia="仿宋_GB2312" w:hint="eastAsia"/>
          <w:color w:val="000000" w:themeColor="text1"/>
          <w:sz w:val="32"/>
          <w:szCs w:val="32"/>
        </w:rPr>
        <w:t>经营收入</w:t>
      </w:r>
      <w:bookmarkEnd w:id="12"/>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3" w:name="OLE_LINK5"/>
      <w:r>
        <w:rPr>
          <w:rFonts w:ascii="仿宋_GB2312" w:eastAsia="仿宋_GB2312" w:hint="eastAsia"/>
          <w:color w:val="000000" w:themeColor="text1"/>
          <w:sz w:val="32"/>
          <w:szCs w:val="32"/>
        </w:rPr>
        <w:t>附属单位缴款</w:t>
      </w:r>
      <w:bookmarkEnd w:id="13"/>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4" w:name="OLE_LINK6"/>
      <w:r>
        <w:rPr>
          <w:rFonts w:ascii="仿宋_GB2312" w:eastAsia="仿宋_GB2312" w:hint="eastAsia"/>
          <w:color w:val="000000" w:themeColor="text1"/>
          <w:sz w:val="32"/>
          <w:szCs w:val="32"/>
        </w:rPr>
        <w:t>其他收入</w:t>
      </w:r>
      <w:bookmarkEnd w:id="14"/>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bookmarkStart w:id="15" w:name="OLE_LINK55"/>
      <w:r>
        <w:rPr>
          <w:rFonts w:ascii="仿宋_GB2312" w:eastAsia="仿宋_GB2312" w:hint="eastAsia"/>
          <w:sz w:val="32"/>
          <w:szCs w:val="32"/>
        </w:rPr>
        <w:t>与年初预算数相比情</w:t>
      </w:r>
      <w:r>
        <w:rPr>
          <w:rFonts w:ascii="仿宋_GB2312" w:eastAsia="仿宋_GB2312" w:hint="eastAsia"/>
          <w:color w:val="000000" w:themeColor="text1"/>
          <w:sz w:val="32"/>
          <w:szCs w:val="32"/>
        </w:rPr>
        <w:t>况：本年收入年初预算数992.59万元</w:t>
      </w:r>
      <w:r>
        <w:rPr>
          <w:rFonts w:ascii="仿宋_GB2312" w:eastAsia="仿宋_GB2312" w:hint="eastAsia"/>
          <w:sz w:val="32"/>
          <w:szCs w:val="32"/>
        </w:rPr>
        <w:t>，决算数1,121.61万元</w:t>
      </w:r>
      <w:r>
        <w:rPr>
          <w:rFonts w:ascii="仿宋_GB2312" w:eastAsia="仿宋_GB2312"/>
          <w:sz w:val="32"/>
          <w:szCs w:val="32"/>
        </w:rPr>
        <w:t>，预决算差异率13%，差异主要原因是:项目规模增大，年中追加了脱贫攻坚扶贫项目审计工作经费及人员工资调整。</w:t>
      </w:r>
      <w:bookmarkEnd w:id="15"/>
    </w:p>
    <w:p w:rsidR="00184AA3" w:rsidRDefault="00DB45E7" w:rsidP="0045026B">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（三）部门支出总体情况说明</w:t>
      </w:r>
    </w:p>
    <w:p w:rsidR="00184AA3" w:rsidRDefault="00DB45E7">
      <w:pPr>
        <w:spacing w:line="540" w:lineRule="exact"/>
        <w:ind w:firstLineChars="200" w:firstLine="640"/>
        <w:rPr>
          <w:rFonts w:ascii="仿宋_GB2312" w:eastAsia="仿宋_GB2312"/>
          <w:color w:val="000000" w:themeColor="text1"/>
          <w:spacing w:val="-6"/>
          <w:sz w:val="32"/>
          <w:szCs w:val="32"/>
        </w:rPr>
      </w:pPr>
      <w:bookmarkStart w:id="16" w:name="OLE_LINK7"/>
      <w:r>
        <w:rPr>
          <w:rFonts w:ascii="仿宋_GB2312" w:eastAsia="仿宋_GB2312" w:hint="eastAsia"/>
          <w:color w:val="000000" w:themeColor="text1"/>
          <w:sz w:val="32"/>
          <w:szCs w:val="32"/>
        </w:rPr>
        <w:t>本年支出合计</w:t>
      </w:r>
      <w:bookmarkEnd w:id="16"/>
      <w:r>
        <w:rPr>
          <w:rFonts w:ascii="仿宋_GB2312" w:eastAsia="仿宋_GB2312" w:hint="eastAsia"/>
          <w:sz w:val="32"/>
          <w:szCs w:val="32"/>
        </w:rPr>
        <w:t>1,121.61</w:t>
      </w:r>
      <w:r>
        <w:rPr>
          <w:rFonts w:ascii="仿宋_GB2312" w:eastAsia="仿宋_GB2312" w:hint="eastAsia"/>
          <w:color w:val="000000" w:themeColor="text1"/>
          <w:sz w:val="32"/>
          <w:szCs w:val="32"/>
        </w:rPr>
        <w:t>万元，其中：</w:t>
      </w:r>
      <w:bookmarkStart w:id="17" w:name="OLE_LINK8"/>
      <w:r>
        <w:rPr>
          <w:rFonts w:ascii="仿宋_GB2312" w:eastAsia="仿宋_GB2312" w:hint="eastAsia"/>
          <w:color w:val="000000" w:themeColor="text1"/>
          <w:sz w:val="32"/>
          <w:szCs w:val="32"/>
        </w:rPr>
        <w:t>基本支出</w:t>
      </w:r>
      <w:bookmarkEnd w:id="17"/>
      <w:r>
        <w:rPr>
          <w:rFonts w:ascii="仿宋_GB2312" w:eastAsia="仿宋_GB2312" w:hint="eastAsia"/>
          <w:sz w:val="32"/>
          <w:szCs w:val="32"/>
        </w:rPr>
        <w:t>875.02</w:t>
      </w:r>
      <w:r>
        <w:rPr>
          <w:rFonts w:ascii="仿宋_GB2312" w:eastAsia="仿宋_GB2312" w:hint="eastAsia"/>
          <w:color w:val="000000" w:themeColor="text1"/>
          <w:sz w:val="32"/>
          <w:szCs w:val="32"/>
        </w:rPr>
        <w:t>万元，占</w:t>
      </w:r>
      <w:r>
        <w:rPr>
          <w:rFonts w:ascii="仿宋_GB2312" w:eastAsia="仿宋_GB2312" w:hint="eastAsia"/>
          <w:sz w:val="32"/>
          <w:szCs w:val="32"/>
        </w:rPr>
        <w:t>78.01%</w:t>
      </w:r>
      <w:r>
        <w:rPr>
          <w:rFonts w:ascii="仿宋_GB2312" w:eastAsia="仿宋_GB2312" w:hint="eastAsia"/>
          <w:color w:val="000000" w:themeColor="text1"/>
          <w:sz w:val="32"/>
          <w:szCs w:val="32"/>
        </w:rPr>
        <w:t>；</w:t>
      </w:r>
      <w:bookmarkStart w:id="18" w:name="OLE_LINK9"/>
      <w:r>
        <w:rPr>
          <w:rFonts w:ascii="仿宋_GB2312" w:eastAsia="仿宋_GB2312" w:hint="eastAsia"/>
          <w:color w:val="000000" w:themeColor="text1"/>
          <w:sz w:val="32"/>
          <w:szCs w:val="32"/>
        </w:rPr>
        <w:t>项目支出</w:t>
      </w:r>
      <w:bookmarkEnd w:id="18"/>
      <w:r>
        <w:rPr>
          <w:rFonts w:ascii="仿宋_GB2312" w:eastAsia="仿宋_GB2312" w:hint="eastAsia"/>
          <w:sz w:val="32"/>
          <w:szCs w:val="32"/>
        </w:rPr>
        <w:t>246.6</w:t>
      </w:r>
      <w:r>
        <w:rPr>
          <w:rFonts w:ascii="仿宋_GB2312" w:eastAsia="仿宋_GB2312" w:hint="eastAsia"/>
          <w:color w:val="000000" w:themeColor="text1"/>
          <w:sz w:val="32"/>
          <w:szCs w:val="32"/>
        </w:rPr>
        <w:t>万元，占</w:t>
      </w:r>
      <w:r>
        <w:rPr>
          <w:rFonts w:ascii="仿宋_GB2312" w:eastAsia="仿宋_GB2312" w:hint="eastAsia"/>
          <w:sz w:val="32"/>
          <w:szCs w:val="32"/>
        </w:rPr>
        <w:t>21.99%</w:t>
      </w:r>
      <w:r>
        <w:rPr>
          <w:rFonts w:ascii="仿宋_GB2312" w:eastAsia="仿宋_GB2312" w:hint="eastAsia"/>
          <w:color w:val="000000" w:themeColor="text1"/>
          <w:sz w:val="32"/>
          <w:szCs w:val="32"/>
        </w:rPr>
        <w:t>；</w:t>
      </w:r>
      <w:bookmarkStart w:id="19" w:name="OLE_LINK10"/>
      <w:r>
        <w:rPr>
          <w:rFonts w:ascii="仿宋_GB2312" w:eastAsia="仿宋_GB2312" w:hint="eastAsia"/>
          <w:color w:val="000000" w:themeColor="text1"/>
          <w:sz w:val="32"/>
          <w:szCs w:val="32"/>
        </w:rPr>
        <w:t>上缴上级支出</w:t>
      </w:r>
      <w:bookmarkEnd w:id="19"/>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20" w:name="OLE_LINK11"/>
      <w:r>
        <w:rPr>
          <w:rFonts w:ascii="仿宋_GB2312" w:eastAsia="仿宋_GB2312" w:hint="eastAsia"/>
          <w:color w:val="000000" w:themeColor="text1"/>
          <w:spacing w:val="-6"/>
          <w:sz w:val="32"/>
          <w:szCs w:val="32"/>
        </w:rPr>
        <w:t>经营支出</w:t>
      </w:r>
      <w:bookmarkEnd w:id="20"/>
      <w:r>
        <w:rPr>
          <w:rFonts w:ascii="仿宋_GB2312" w:eastAsia="仿宋_GB2312" w:hint="eastAsia"/>
          <w:sz w:val="32"/>
          <w:szCs w:val="32"/>
        </w:rPr>
        <w:t>0</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hint="eastAsia"/>
          <w:color w:val="000000" w:themeColor="text1"/>
          <w:spacing w:val="-6"/>
          <w:sz w:val="32"/>
          <w:szCs w:val="32"/>
        </w:rPr>
        <w:t>；</w:t>
      </w:r>
      <w:bookmarkStart w:id="21" w:name="OLE_LINK12"/>
      <w:r>
        <w:rPr>
          <w:rFonts w:ascii="仿宋_GB2312" w:eastAsia="仿宋_GB2312" w:hint="eastAsia"/>
          <w:color w:val="000000" w:themeColor="text1"/>
          <w:spacing w:val="-6"/>
          <w:sz w:val="32"/>
          <w:szCs w:val="32"/>
        </w:rPr>
        <w:t>对附属单位补助支出</w:t>
      </w:r>
      <w:bookmarkEnd w:id="21"/>
      <w:r>
        <w:rPr>
          <w:rFonts w:ascii="仿宋_GB2312" w:eastAsia="仿宋_GB2312" w:hint="eastAsia"/>
          <w:sz w:val="32"/>
          <w:szCs w:val="32"/>
        </w:rPr>
        <w:t>0</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p>
    <w:p w:rsidR="00184AA3" w:rsidRDefault="00DB45E7">
      <w:pPr>
        <w:spacing w:line="540" w:lineRule="exact"/>
        <w:ind w:firstLineChars="200" w:firstLine="640"/>
        <w:rPr>
          <w:rFonts w:ascii="仿宋_GB2312" w:eastAsia="仿宋_GB2312"/>
          <w:sz w:val="32"/>
          <w:szCs w:val="32"/>
        </w:rPr>
      </w:pPr>
      <w:bookmarkStart w:id="22" w:name="OLE_LINK56"/>
      <w:r>
        <w:rPr>
          <w:rFonts w:ascii="仿宋_GB2312" w:eastAsia="仿宋_GB2312" w:hint="eastAsia"/>
          <w:color w:val="000000" w:themeColor="text1"/>
          <w:sz w:val="32"/>
          <w:szCs w:val="32"/>
        </w:rPr>
        <w:t>与年初预算数相比情况：本年支出年初预算数992.59万元，</w:t>
      </w:r>
      <w:r>
        <w:rPr>
          <w:rFonts w:ascii="仿宋_GB2312" w:eastAsia="仿宋_GB2312" w:hint="eastAsia"/>
          <w:sz w:val="32"/>
          <w:szCs w:val="32"/>
        </w:rPr>
        <w:t>决算数1,121.61万元</w:t>
      </w:r>
      <w:r>
        <w:rPr>
          <w:rFonts w:ascii="仿宋_GB2312" w:eastAsia="仿宋_GB2312"/>
          <w:sz w:val="32"/>
          <w:szCs w:val="32"/>
        </w:rPr>
        <w:t>，预决算差异率13%，差异主要原因是:年中追加了脱贫攻坚扶贫项目审计工作经费和人员工资调整。</w:t>
      </w:r>
    </w:p>
    <w:bookmarkEnd w:id="22"/>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二、部门财政拨款收支情况</w:t>
      </w:r>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（一）财政拨款收支总体情况说明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23" w:name="OLE_LINK58"/>
      <w:bookmarkStart w:id="24" w:name="OLE_LINK57"/>
      <w:r>
        <w:rPr>
          <w:rFonts w:ascii="仿宋_GB2312" w:eastAsia="仿宋_GB2312" w:hint="eastAsia"/>
          <w:color w:val="000000" w:themeColor="text1"/>
          <w:sz w:val="32"/>
          <w:szCs w:val="32"/>
        </w:rPr>
        <w:t>2018年度</w:t>
      </w:r>
      <w:bookmarkStart w:id="25" w:name="OLE_LINK13"/>
      <w:r>
        <w:rPr>
          <w:rFonts w:ascii="仿宋_GB2312" w:eastAsia="仿宋_GB2312" w:hint="eastAsia"/>
          <w:color w:val="000000" w:themeColor="text1"/>
          <w:sz w:val="32"/>
          <w:szCs w:val="32"/>
        </w:rPr>
        <w:t>财政拨款收入</w:t>
      </w:r>
      <w:bookmarkEnd w:id="25"/>
      <w:r>
        <w:rPr>
          <w:rFonts w:ascii="仿宋_GB2312" w:eastAsia="仿宋_GB2312" w:hint="eastAsia"/>
          <w:sz w:val="32"/>
          <w:szCs w:val="32"/>
        </w:rPr>
        <w:t>1,121.61</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，与上年相比，增加157.69万元，增长16.36%，增加的主要原因是：脱贫攻坚扶贫项目审计规模增大、人员工资调人员增加及抚恤金增加，同时其他收入减少。</w:t>
      </w:r>
      <w:bookmarkStart w:id="26" w:name="OLE_LINK14"/>
      <w:bookmarkStart w:id="27" w:name="OLE_LINK59"/>
      <w:bookmarkStart w:id="28" w:name="OLE_LINK60"/>
      <w:bookmarkEnd w:id="23"/>
      <w:bookmarkEnd w:id="24"/>
      <w:r>
        <w:rPr>
          <w:rFonts w:ascii="仿宋_GB2312" w:eastAsia="仿宋_GB2312" w:hint="eastAsia"/>
          <w:color w:val="000000" w:themeColor="text1"/>
          <w:sz w:val="32"/>
          <w:szCs w:val="32"/>
        </w:rPr>
        <w:t>财政拨款支出</w:t>
      </w:r>
      <w:bookmarkEnd w:id="26"/>
      <w:r>
        <w:rPr>
          <w:rFonts w:ascii="仿宋_GB2312" w:eastAsia="仿宋_GB2312" w:hint="eastAsia"/>
          <w:sz w:val="32"/>
          <w:szCs w:val="32"/>
        </w:rPr>
        <w:t>1,121.61</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，与上年相比，增加157.69万元，增长16.36%，增加的主要原因是：</w:t>
      </w:r>
      <w:r>
        <w:rPr>
          <w:rFonts w:ascii="仿宋_GB2312" w:eastAsia="仿宋_GB2312"/>
          <w:sz w:val="32"/>
          <w:szCs w:val="32"/>
        </w:rPr>
        <w:t>脱贫攻坚扶贫项目审计规模增大、人员工资调整人员增加及抚恤金增加，同时其他收入减少。</w:t>
      </w:r>
      <w:bookmarkStart w:id="29" w:name="OLE_LINK61"/>
      <w:bookmarkEnd w:id="27"/>
      <w:bookmarkEnd w:id="28"/>
      <w:r>
        <w:rPr>
          <w:rFonts w:ascii="仿宋_GB2312" w:eastAsia="仿宋_GB2312" w:hint="eastAsia"/>
          <w:color w:val="000000" w:themeColor="text1"/>
          <w:sz w:val="32"/>
          <w:szCs w:val="32"/>
        </w:rPr>
        <w:t>其中：</w:t>
      </w:r>
      <w:bookmarkStart w:id="30" w:name="OLE_LINK15"/>
      <w:r>
        <w:rPr>
          <w:rFonts w:ascii="仿宋_GB2312" w:eastAsia="仿宋_GB2312" w:hint="eastAsia"/>
          <w:color w:val="000000" w:themeColor="text1"/>
          <w:sz w:val="32"/>
          <w:szCs w:val="32"/>
        </w:rPr>
        <w:t>基本支出</w:t>
      </w:r>
      <w:bookmarkEnd w:id="30"/>
      <w:r>
        <w:rPr>
          <w:rFonts w:ascii="仿宋_GB2312" w:eastAsia="仿宋_GB2312" w:hint="eastAsia"/>
          <w:sz w:val="32"/>
          <w:szCs w:val="32"/>
        </w:rPr>
        <w:t>875.02</w:t>
      </w:r>
      <w:r>
        <w:rPr>
          <w:rFonts w:ascii="仿宋_GB2312" w:eastAsia="仿宋_GB2312" w:hint="eastAsia"/>
          <w:color w:val="000000" w:themeColor="text1"/>
          <w:sz w:val="32"/>
          <w:szCs w:val="32"/>
        </w:rPr>
        <w:t>万元，项目支出</w:t>
      </w:r>
      <w:r>
        <w:rPr>
          <w:rFonts w:ascii="仿宋_GB2312" w:eastAsia="仿宋_GB2312" w:hint="eastAsia"/>
          <w:sz w:val="32"/>
          <w:szCs w:val="32"/>
        </w:rPr>
        <w:t>246.6</w:t>
      </w:r>
      <w:r>
        <w:rPr>
          <w:rFonts w:ascii="仿宋_GB2312" w:eastAsia="仿宋_GB2312" w:hint="eastAsia"/>
          <w:color w:val="000000" w:themeColor="text1"/>
          <w:sz w:val="32"/>
          <w:szCs w:val="32"/>
        </w:rPr>
        <w:t>万元。</w:t>
      </w:r>
      <w:bookmarkStart w:id="31" w:name="OLE_LINK16"/>
      <w:r>
        <w:rPr>
          <w:rFonts w:ascii="仿宋_GB2312" w:eastAsia="仿宋_GB2312" w:hint="eastAsia"/>
          <w:color w:val="000000" w:themeColor="text1"/>
          <w:sz w:val="32"/>
          <w:szCs w:val="32"/>
        </w:rPr>
        <w:t>财政拨款结转</w:t>
      </w:r>
      <w:r>
        <w:rPr>
          <w:rFonts w:ascii="仿宋_GB2312" w:eastAsia="仿宋_GB2312" w:hint="eastAsia"/>
          <w:color w:val="000000" w:themeColor="text1"/>
          <w:sz w:val="32"/>
          <w:szCs w:val="32"/>
        </w:rPr>
        <w:lastRenderedPageBreak/>
        <w:t>结余</w:t>
      </w:r>
      <w:bookmarkEnd w:id="31"/>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，与上年相比，增加0万元，增长0%，主要原因是：无变化。</w:t>
      </w:r>
      <w:bookmarkEnd w:id="29"/>
    </w:p>
    <w:p w:rsidR="00184AA3" w:rsidRDefault="00DB45E7">
      <w:pPr>
        <w:spacing w:line="540" w:lineRule="exact"/>
        <w:ind w:firstLineChars="200" w:firstLine="640"/>
        <w:rPr>
          <w:rFonts w:ascii="仿宋_GB2312" w:eastAsia="仿宋_GB2312"/>
          <w:color w:val="000000" w:themeColor="text1"/>
          <w:sz w:val="32"/>
          <w:szCs w:val="32"/>
        </w:rPr>
      </w:pPr>
      <w:bookmarkStart w:id="32" w:name="OLE_LINK62"/>
      <w:r>
        <w:rPr>
          <w:rFonts w:ascii="仿宋_GB2312" w:eastAsia="仿宋_GB2312" w:hint="eastAsia"/>
          <w:color w:val="000000" w:themeColor="text1"/>
          <w:sz w:val="32"/>
          <w:szCs w:val="32"/>
        </w:rPr>
        <w:t>与年初预算数相比情况：财政拨款收入年初预算数</w:t>
      </w:r>
      <w:r>
        <w:rPr>
          <w:rFonts w:ascii="仿宋_GB2312" w:eastAsia="仿宋_GB2312"/>
          <w:color w:val="000000" w:themeColor="text1"/>
          <w:sz w:val="32"/>
          <w:szCs w:val="32"/>
        </w:rPr>
        <w:t>992.59</w:t>
      </w:r>
      <w:r>
        <w:rPr>
          <w:rFonts w:ascii="仿宋_GB2312" w:eastAsia="仿宋_GB2312" w:hint="eastAsia"/>
          <w:color w:val="000000" w:themeColor="text1"/>
          <w:sz w:val="32"/>
          <w:szCs w:val="32"/>
        </w:rPr>
        <w:t>万元，决算数</w:t>
      </w:r>
      <w:r>
        <w:rPr>
          <w:rFonts w:ascii="仿宋_GB2312" w:eastAsia="仿宋_GB2312" w:hint="eastAsia"/>
          <w:sz w:val="32"/>
          <w:szCs w:val="32"/>
        </w:rPr>
        <w:t>1,121.61</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，预决算差异率13%，差异主要原因是:项目规模增大，年中追加了脱贫攻坚扶贫项目审计工作经费及人员工资调整。</w:t>
      </w:r>
      <w:bookmarkStart w:id="33" w:name="OLE_LINK63"/>
      <w:bookmarkEnd w:id="32"/>
      <w:r>
        <w:rPr>
          <w:rFonts w:ascii="仿宋_GB2312" w:eastAsia="仿宋_GB2312" w:hint="eastAsia"/>
          <w:color w:val="000000" w:themeColor="text1"/>
          <w:sz w:val="32"/>
          <w:szCs w:val="32"/>
        </w:rPr>
        <w:t>财政拨款支出年初预算数</w:t>
      </w:r>
      <w:r>
        <w:rPr>
          <w:rFonts w:ascii="仿宋_GB2312" w:eastAsia="仿宋_GB2312"/>
          <w:color w:val="000000" w:themeColor="text1"/>
          <w:sz w:val="32"/>
          <w:szCs w:val="32"/>
        </w:rPr>
        <w:t>992.59</w:t>
      </w:r>
      <w:r>
        <w:rPr>
          <w:rFonts w:ascii="仿宋_GB2312" w:eastAsia="仿宋_GB2312" w:hint="eastAsia"/>
          <w:color w:val="000000" w:themeColor="text1"/>
          <w:sz w:val="32"/>
          <w:szCs w:val="32"/>
        </w:rPr>
        <w:t>万元，决算数</w:t>
      </w:r>
      <w:r>
        <w:rPr>
          <w:rFonts w:ascii="仿宋_GB2312" w:eastAsia="仿宋_GB2312" w:hint="eastAsia"/>
          <w:sz w:val="32"/>
          <w:szCs w:val="32"/>
        </w:rPr>
        <w:t>1,121.61</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，预决算差异率13%，差异主要原因是:年中追加了脱贫攻坚扶贫项目审计工作经费和人员工资调整。</w:t>
      </w:r>
      <w:bookmarkEnd w:id="33"/>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（二）一般公共预算收支决算情况说明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34" w:name="OLE_LINK64"/>
      <w:r>
        <w:rPr>
          <w:rFonts w:ascii="仿宋_GB2312" w:eastAsia="仿宋_GB2312" w:hint="eastAsia"/>
          <w:color w:val="000000" w:themeColor="text1"/>
          <w:sz w:val="32"/>
          <w:szCs w:val="32"/>
        </w:rPr>
        <w:t>2018年度</w:t>
      </w:r>
      <w:bookmarkStart w:id="35" w:name="OLE_LINK17"/>
      <w:r>
        <w:rPr>
          <w:rFonts w:ascii="仿宋_GB2312" w:eastAsia="仿宋_GB2312" w:hint="eastAsia"/>
          <w:color w:val="000000" w:themeColor="text1"/>
          <w:sz w:val="32"/>
          <w:szCs w:val="32"/>
        </w:rPr>
        <w:t>一般公共预算财政拨款收入</w:t>
      </w:r>
      <w:bookmarkEnd w:id="35"/>
      <w:r>
        <w:rPr>
          <w:rFonts w:ascii="仿宋_GB2312" w:eastAsia="仿宋_GB2312"/>
          <w:color w:val="000000" w:themeColor="text1"/>
          <w:sz w:val="32"/>
          <w:szCs w:val="32"/>
        </w:rPr>
        <w:t>1,121.61</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，与上年相比，增加157.69万元，增长16.36%，增加的主要原因是：脱贫攻坚扶贫项目审计规模增大、人员工资调整人员增加及抚恤金增加。</w:t>
      </w:r>
      <w:bookmarkStart w:id="36" w:name="OLE_LINK18"/>
      <w:bookmarkStart w:id="37" w:name="OLE_LINK65"/>
      <w:bookmarkEnd w:id="34"/>
      <w:r>
        <w:rPr>
          <w:rFonts w:ascii="仿宋_GB2312" w:eastAsia="仿宋_GB2312" w:hint="eastAsia"/>
          <w:color w:val="000000" w:themeColor="text1"/>
          <w:sz w:val="32"/>
          <w:szCs w:val="32"/>
        </w:rPr>
        <w:t>一般公共预算财政拨款支出</w:t>
      </w:r>
      <w:r>
        <w:rPr>
          <w:rFonts w:ascii="仿宋_GB2312" w:eastAsia="仿宋_GB2312" w:hint="eastAsia"/>
          <w:sz w:val="32"/>
          <w:szCs w:val="32"/>
        </w:rPr>
        <w:t>1,121.61</w:t>
      </w:r>
      <w:r>
        <w:rPr>
          <w:rFonts w:ascii="仿宋_GB2312" w:eastAsia="仿宋_GB2312" w:hint="eastAsia"/>
          <w:color w:val="000000" w:themeColor="text1"/>
          <w:sz w:val="32"/>
          <w:szCs w:val="32"/>
        </w:rPr>
        <w:t>万元</w:t>
      </w:r>
      <w:bookmarkEnd w:id="36"/>
      <w:r>
        <w:rPr>
          <w:rFonts w:ascii="仿宋_GB2312" w:eastAsia="仿宋_GB2312" w:hint="eastAsia"/>
          <w:sz w:val="32"/>
          <w:szCs w:val="32"/>
        </w:rPr>
        <w:t>，与上年相比，增加157.69万元，增长16.36%，增加的主要原因是：脱贫攻坚扶贫项目审计规模增大、人员工资调整人员增加及抚恤金增加。</w:t>
      </w:r>
      <w:bookmarkEnd w:id="37"/>
      <w:r>
        <w:rPr>
          <w:rFonts w:ascii="仿宋_GB2312" w:eastAsia="仿宋_GB2312" w:hint="eastAsia"/>
          <w:color w:val="000000" w:themeColor="text1"/>
          <w:sz w:val="32"/>
          <w:szCs w:val="32"/>
        </w:rPr>
        <w:t>其中：</w:t>
      </w:r>
      <w:bookmarkStart w:id="38" w:name="OLE_LINK19"/>
      <w:r>
        <w:rPr>
          <w:rFonts w:ascii="仿宋_GB2312" w:eastAsia="仿宋_GB2312" w:hint="eastAsia"/>
          <w:color w:val="000000" w:themeColor="text1"/>
          <w:sz w:val="32"/>
          <w:szCs w:val="32"/>
        </w:rPr>
        <w:t>按功能分类科目（按类级科目公开）</w:t>
      </w:r>
      <w:bookmarkEnd w:id="38"/>
      <w:r>
        <w:rPr>
          <w:rFonts w:ascii="仿宋_GB2312" w:eastAsia="仿宋_GB2312" w:hint="eastAsia"/>
          <w:color w:val="000000" w:themeColor="text1"/>
          <w:sz w:val="32"/>
          <w:szCs w:val="32"/>
        </w:rPr>
        <w:t>，</w:t>
      </w:r>
      <w:r>
        <w:rPr>
          <w:rFonts w:ascii="仿宋_GB2312" w:eastAsia="仿宋_GB2312" w:hint="eastAsia"/>
          <w:sz w:val="32"/>
          <w:szCs w:val="32"/>
        </w:rPr>
        <w:t>住房保障支出46.75万元,一般公共服务支出965.79万元,教育支出3.9万元,其他支出35.48万元,社会保障和就业支出69.69万元。</w:t>
      </w:r>
      <w:bookmarkStart w:id="39" w:name="OLE_LINK20"/>
      <w:bookmarkStart w:id="40" w:name="OLE_LINK21"/>
      <w:r>
        <w:rPr>
          <w:rFonts w:ascii="仿宋_GB2312" w:eastAsia="仿宋_GB2312" w:hint="eastAsia"/>
          <w:color w:val="000000" w:themeColor="text1"/>
          <w:sz w:val="32"/>
          <w:szCs w:val="32"/>
        </w:rPr>
        <w:t>按经济分类科目</w:t>
      </w:r>
      <w:bookmarkEnd w:id="39"/>
      <w:r>
        <w:rPr>
          <w:rFonts w:ascii="仿宋_GB2312" w:eastAsia="仿宋_GB2312" w:hint="eastAsia"/>
          <w:color w:val="000000" w:themeColor="text1"/>
          <w:sz w:val="32"/>
          <w:szCs w:val="32"/>
        </w:rPr>
        <w:t>（按类级科目公开）</w:t>
      </w:r>
      <w:bookmarkEnd w:id="40"/>
      <w:r>
        <w:rPr>
          <w:rFonts w:ascii="仿宋_GB2312" w:eastAsia="仿宋_GB2312" w:hint="eastAsia"/>
          <w:color w:val="000000" w:themeColor="text1"/>
          <w:sz w:val="32"/>
          <w:szCs w:val="32"/>
        </w:rPr>
        <w:t>，</w:t>
      </w:r>
      <w:r>
        <w:rPr>
          <w:rFonts w:ascii="仿宋_GB2312" w:eastAsia="仿宋_GB2312" w:hint="eastAsia"/>
          <w:sz w:val="32"/>
          <w:szCs w:val="32"/>
        </w:rPr>
        <w:t>工资福利支出706.96万元,商品和服务支出277.51万元,对个人和家庭的补助137.14万元。</w:t>
      </w:r>
    </w:p>
    <w:p w:rsidR="00184AA3" w:rsidRDefault="00DB45E7">
      <w:pPr>
        <w:spacing w:line="540" w:lineRule="exact"/>
        <w:ind w:firstLineChars="200" w:firstLine="640"/>
        <w:rPr>
          <w:rFonts w:ascii="仿宋_GB2312" w:eastAsia="仿宋_GB2312"/>
          <w:color w:val="000000" w:themeColor="text1"/>
          <w:sz w:val="32"/>
          <w:szCs w:val="32"/>
        </w:rPr>
      </w:pPr>
      <w:bookmarkStart w:id="41" w:name="OLE_LINK67"/>
      <w:bookmarkStart w:id="42" w:name="OLE_LINK66"/>
      <w:r>
        <w:rPr>
          <w:rFonts w:ascii="仿宋_GB2312" w:eastAsia="仿宋_GB2312" w:hint="eastAsia"/>
          <w:color w:val="000000" w:themeColor="text1"/>
          <w:sz w:val="32"/>
          <w:szCs w:val="32"/>
        </w:rPr>
        <w:t>与年初预算数相比情况：一般公共预算财政拨款收入年初预算数</w:t>
      </w:r>
      <w:r>
        <w:rPr>
          <w:rFonts w:ascii="仿宋_GB2312" w:eastAsia="仿宋_GB2312"/>
          <w:color w:val="000000" w:themeColor="text1"/>
          <w:sz w:val="32"/>
          <w:szCs w:val="32"/>
        </w:rPr>
        <w:t>992.59</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1,121.61</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，预决算差异率13%，差异主要原因是:项目规模增大，年中追加了脱贫攻坚扶贫项目审计工作</w:t>
      </w:r>
      <w:r>
        <w:rPr>
          <w:rFonts w:ascii="仿宋_GB2312" w:eastAsia="仿宋_GB2312"/>
          <w:color w:val="000000" w:themeColor="text1"/>
          <w:sz w:val="32"/>
          <w:szCs w:val="32"/>
        </w:rPr>
        <w:lastRenderedPageBreak/>
        <w:t>经费及人员工资调整。</w:t>
      </w:r>
      <w:bookmarkStart w:id="43" w:name="OLE_LINK68"/>
      <w:bookmarkEnd w:id="41"/>
      <w:bookmarkEnd w:id="42"/>
      <w:r>
        <w:rPr>
          <w:rFonts w:ascii="仿宋_GB2312" w:eastAsia="仿宋_GB2312" w:hint="eastAsia"/>
          <w:color w:val="000000" w:themeColor="text1"/>
          <w:sz w:val="32"/>
          <w:szCs w:val="32"/>
        </w:rPr>
        <w:t>一般公共预算财政拨款支出年初预算数</w:t>
      </w:r>
      <w:r>
        <w:rPr>
          <w:rFonts w:ascii="仿宋_GB2312" w:eastAsia="仿宋_GB2312"/>
          <w:color w:val="000000" w:themeColor="text1"/>
          <w:sz w:val="32"/>
          <w:szCs w:val="32"/>
        </w:rPr>
        <w:t>992.59</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1,121.61</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，预决算差异率13%，差异主要原因是:项目规模增大，年中追加了脱贫攻坚扶贫项目审计工作经费及人员工资调整。</w:t>
      </w:r>
      <w:bookmarkEnd w:id="43"/>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（三）政府性基金预算收支决算情况说明</w:t>
      </w:r>
    </w:p>
    <w:p w:rsidR="00184AA3" w:rsidRPr="00E8738A" w:rsidRDefault="00DB45E7">
      <w:pPr>
        <w:spacing w:line="540" w:lineRule="exact"/>
        <w:ind w:firstLineChars="200" w:firstLine="640"/>
        <w:rPr>
          <w:rFonts w:ascii="仿宋_GB2312" w:eastAsia="仿宋_GB2312"/>
          <w:color w:val="000000" w:themeColor="text1"/>
          <w:sz w:val="32"/>
          <w:szCs w:val="32"/>
        </w:rPr>
      </w:pPr>
      <w:bookmarkStart w:id="44" w:name="OLE_LINK69"/>
      <w:r>
        <w:rPr>
          <w:rFonts w:ascii="仿宋_GB2312" w:eastAsia="仿宋_GB2312" w:hint="eastAsia"/>
          <w:color w:val="000000" w:themeColor="text1"/>
          <w:sz w:val="32"/>
          <w:szCs w:val="32"/>
        </w:rPr>
        <w:t>2018年度</w:t>
      </w:r>
      <w:bookmarkStart w:id="45" w:name="OLE_LINK22"/>
      <w:r>
        <w:rPr>
          <w:rFonts w:ascii="仿宋_GB2312" w:eastAsia="仿宋_GB2312" w:hint="eastAsia"/>
          <w:color w:val="000000" w:themeColor="text1"/>
          <w:sz w:val="32"/>
          <w:szCs w:val="32"/>
        </w:rPr>
        <w:t>政府性基金预算财政拨款收入</w:t>
      </w:r>
      <w:bookmarkEnd w:id="45"/>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，与上年相比，增加0万元，增长0%，主要原因是：无政府基金预算财政拨款收入。</w:t>
      </w:r>
      <w:bookmarkStart w:id="46" w:name="OLE_LINK23"/>
      <w:bookmarkStart w:id="47" w:name="OLE_LINK70"/>
      <w:bookmarkEnd w:id="44"/>
      <w:r>
        <w:rPr>
          <w:rFonts w:ascii="仿宋_GB2312" w:eastAsia="仿宋_GB2312" w:hint="eastAsia"/>
          <w:color w:val="000000" w:themeColor="text1"/>
          <w:sz w:val="32"/>
          <w:szCs w:val="32"/>
        </w:rPr>
        <w:t>政府性基金预算支出</w:t>
      </w:r>
      <w:bookmarkEnd w:id="46"/>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，与上年相比，增加0万元，增长0%，主要原因是：无政府基金预算支出。</w:t>
      </w:r>
      <w:bookmarkEnd w:id="47"/>
      <w:r>
        <w:rPr>
          <w:rFonts w:ascii="仿宋_GB2312" w:eastAsia="仿宋_GB2312" w:hint="eastAsia"/>
          <w:color w:val="000000" w:themeColor="text1"/>
          <w:sz w:val="32"/>
          <w:szCs w:val="32"/>
        </w:rPr>
        <w:t>其中：</w:t>
      </w:r>
      <w:bookmarkStart w:id="48" w:name="OLE_LINK24"/>
      <w:r>
        <w:rPr>
          <w:rFonts w:ascii="仿宋_GB2312" w:eastAsia="仿宋_GB2312" w:hint="eastAsia"/>
          <w:color w:val="000000" w:themeColor="text1"/>
          <w:sz w:val="32"/>
          <w:szCs w:val="32"/>
        </w:rPr>
        <w:t>按功能分类科目（按类级科目公开）</w:t>
      </w:r>
      <w:bookmarkEnd w:id="48"/>
      <w:r>
        <w:rPr>
          <w:rFonts w:ascii="仿宋_GB2312" w:eastAsia="仿宋_GB2312" w:hint="eastAsia"/>
          <w:color w:val="000000" w:themeColor="text1"/>
          <w:sz w:val="32"/>
          <w:szCs w:val="32"/>
        </w:rPr>
        <w:t>，无。按经济分类科目（按类级科目公开），无。</w:t>
      </w:r>
    </w:p>
    <w:p w:rsidR="00184AA3" w:rsidRDefault="00DB45E7">
      <w:pPr>
        <w:spacing w:line="540" w:lineRule="exact"/>
        <w:ind w:firstLineChars="200" w:firstLine="640"/>
        <w:rPr>
          <w:rFonts w:ascii="仿宋_GB2312" w:eastAsia="仿宋_GB2312"/>
          <w:color w:val="000000" w:themeColor="text1"/>
          <w:sz w:val="32"/>
          <w:szCs w:val="32"/>
        </w:rPr>
      </w:pPr>
      <w:bookmarkStart w:id="49" w:name="OLE_LINK72"/>
      <w:bookmarkStart w:id="50" w:name="OLE_LINK71"/>
      <w:r>
        <w:rPr>
          <w:rFonts w:ascii="仿宋_GB2312" w:eastAsia="仿宋_GB2312" w:hint="eastAsia"/>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w:t>
      </w:r>
      <w:r w:rsidR="001A135B">
        <w:rPr>
          <w:rFonts w:ascii="仿宋_GB2312" w:eastAsia="仿宋_GB2312"/>
          <w:color w:val="000000" w:themeColor="text1"/>
          <w:sz w:val="32"/>
          <w:szCs w:val="32"/>
        </w:rPr>
        <w:t>无政府基金预算财政拨款收入。</w:t>
      </w:r>
      <w:bookmarkStart w:id="51" w:name="OLE_LINK73"/>
      <w:bookmarkEnd w:id="49"/>
      <w:bookmarkEnd w:id="50"/>
      <w:r>
        <w:rPr>
          <w:rFonts w:ascii="仿宋_GB2312" w:eastAsia="仿宋_GB2312" w:hint="eastAsia"/>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，预决算差异率0%，差异主要原因是:无政府基金预算财政拨款支出。</w:t>
      </w:r>
      <w:bookmarkEnd w:id="51"/>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三、部门结转结余情况</w:t>
      </w:r>
    </w:p>
    <w:p w:rsidR="00184AA3" w:rsidRDefault="00DB45E7">
      <w:pPr>
        <w:spacing w:line="540" w:lineRule="exact"/>
        <w:ind w:firstLineChars="200" w:firstLine="640"/>
        <w:rPr>
          <w:rFonts w:ascii="仿宋_GB2312" w:eastAsia="仿宋_GB2312"/>
          <w:color w:val="000000" w:themeColor="text1"/>
          <w:sz w:val="32"/>
          <w:szCs w:val="32"/>
        </w:rPr>
      </w:pPr>
      <w:bookmarkStart w:id="52" w:name="OLE_LINK26"/>
      <w:bookmarkStart w:id="53" w:name="OLE_LINK25"/>
      <w:r>
        <w:rPr>
          <w:rFonts w:ascii="仿宋_GB2312" w:eastAsia="仿宋_GB2312" w:hint="eastAsia"/>
          <w:color w:val="000000" w:themeColor="text1"/>
          <w:sz w:val="32"/>
          <w:szCs w:val="32"/>
        </w:rPr>
        <w:t>年末结转结余</w:t>
      </w:r>
      <w:bookmarkEnd w:id="52"/>
      <w:bookmarkEnd w:id="53"/>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color w:val="000000" w:themeColor="text1"/>
          <w:sz w:val="32"/>
          <w:szCs w:val="32"/>
        </w:rPr>
        <w:t>其中</w:t>
      </w:r>
      <w:bookmarkStart w:id="54" w:name="OLE_LINK27"/>
      <w:bookmarkStart w:id="55" w:name="OLE_LINK28"/>
      <w:r>
        <w:rPr>
          <w:rFonts w:ascii="仿宋_GB2312" w:eastAsia="仿宋_GB2312" w:hint="eastAsia"/>
          <w:color w:val="000000" w:themeColor="text1"/>
          <w:sz w:val="32"/>
          <w:szCs w:val="32"/>
        </w:rPr>
        <w:t>财政拨款结转结余</w:t>
      </w:r>
      <w:bookmarkEnd w:id="54"/>
      <w:bookmarkEnd w:id="55"/>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四、一般公共预算“三公”经费支出情况</w:t>
      </w:r>
    </w:p>
    <w:p w:rsidR="00184AA3" w:rsidRDefault="00DB45E7">
      <w:pPr>
        <w:spacing w:line="540" w:lineRule="exact"/>
        <w:ind w:firstLineChars="200" w:firstLine="640"/>
        <w:rPr>
          <w:rFonts w:ascii="仿宋_GB2312" w:eastAsia="仿宋_GB2312"/>
          <w:color w:val="000000" w:themeColor="text1"/>
          <w:sz w:val="32"/>
          <w:szCs w:val="32"/>
        </w:rPr>
      </w:pPr>
      <w:bookmarkStart w:id="56" w:name="OLE_LINK74"/>
      <w:r>
        <w:rPr>
          <w:rFonts w:ascii="仿宋_GB2312" w:eastAsia="仿宋_GB2312" w:hint="eastAsia"/>
          <w:color w:val="000000" w:themeColor="text1"/>
          <w:sz w:val="32"/>
          <w:szCs w:val="32"/>
        </w:rPr>
        <w:t>2018年度</w:t>
      </w:r>
      <w:bookmarkStart w:id="57" w:name="OLE_LINK29"/>
      <w:r>
        <w:rPr>
          <w:rFonts w:ascii="仿宋_GB2312" w:eastAsia="仿宋_GB2312" w:hint="eastAsia"/>
          <w:color w:val="000000" w:themeColor="text1"/>
          <w:sz w:val="32"/>
          <w:szCs w:val="32"/>
        </w:rPr>
        <w:t>一般公共预算“三公”经费支出决算</w:t>
      </w:r>
      <w:bookmarkEnd w:id="57"/>
      <w:r>
        <w:rPr>
          <w:rFonts w:ascii="仿宋_GB2312" w:eastAsia="仿宋_GB2312" w:hint="eastAsia"/>
          <w:sz w:val="32"/>
          <w:szCs w:val="32"/>
        </w:rPr>
        <w:t>10.5</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，与上年相比，增加1.49万元，增长16.54%，增加的主要原因是：活动增多，用车量增大，其中4辆车使用时间超过12年，维修成本增</w:t>
      </w:r>
      <w:r>
        <w:rPr>
          <w:rFonts w:ascii="仿宋_GB2312" w:eastAsia="仿宋_GB2312" w:hint="eastAsia"/>
          <w:sz w:val="32"/>
          <w:szCs w:val="32"/>
        </w:rPr>
        <w:lastRenderedPageBreak/>
        <w:t>加。</w:t>
      </w:r>
      <w:bookmarkStart w:id="58" w:name="OLE_LINK75"/>
      <w:bookmarkEnd w:id="56"/>
      <w:r>
        <w:rPr>
          <w:rFonts w:ascii="仿宋_GB2312" w:eastAsia="仿宋_GB2312" w:hint="eastAsia"/>
          <w:color w:val="000000" w:themeColor="text1"/>
          <w:sz w:val="32"/>
          <w:szCs w:val="32"/>
        </w:rPr>
        <w:t>其中，</w:t>
      </w:r>
      <w:bookmarkStart w:id="59" w:name="OLE_LINK30"/>
      <w:r>
        <w:rPr>
          <w:rFonts w:ascii="仿宋_GB2312" w:eastAsia="仿宋_GB2312" w:hint="eastAsia"/>
          <w:color w:val="000000" w:themeColor="text1"/>
          <w:sz w:val="32"/>
          <w:szCs w:val="32"/>
        </w:rPr>
        <w:t>因公出国（境）费支出</w:t>
      </w:r>
      <w:bookmarkEnd w:id="59"/>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0%，与上年相比，增加0万元，增长0%，主要原因是：无变化；</w:t>
      </w:r>
      <w:bookmarkStart w:id="60" w:name="OLE_LINK31"/>
      <w:bookmarkStart w:id="61" w:name="OLE_LINK76"/>
      <w:bookmarkEnd w:id="58"/>
      <w:r>
        <w:rPr>
          <w:rFonts w:ascii="仿宋_GB2312" w:eastAsia="仿宋_GB2312" w:hint="eastAsia"/>
          <w:color w:val="000000" w:themeColor="text1"/>
          <w:sz w:val="32"/>
          <w:szCs w:val="32"/>
        </w:rPr>
        <w:t>公务用车购置及运行维护费支出</w:t>
      </w:r>
      <w:bookmarkEnd w:id="60"/>
      <w:r>
        <w:rPr>
          <w:rFonts w:ascii="仿宋_GB2312" w:eastAsia="仿宋_GB2312" w:hint="eastAsia"/>
          <w:sz w:val="32"/>
          <w:szCs w:val="32"/>
        </w:rPr>
        <w:t>10.5</w:t>
      </w:r>
      <w:r>
        <w:rPr>
          <w:rFonts w:ascii="仿宋_GB2312" w:eastAsia="仿宋_GB2312" w:hint="eastAsia"/>
          <w:color w:val="000000" w:themeColor="text1"/>
          <w:sz w:val="32"/>
          <w:szCs w:val="32"/>
        </w:rPr>
        <w:t>万元，占</w:t>
      </w:r>
      <w:r>
        <w:rPr>
          <w:rFonts w:ascii="仿宋_GB2312" w:eastAsia="仿宋_GB2312" w:hint="eastAsia"/>
          <w:sz w:val="32"/>
          <w:szCs w:val="32"/>
        </w:rPr>
        <w:t>100%，与上年相比，增加1.49万元，增长16.54%，增加的主要原因是：</w:t>
      </w:r>
      <w:r w:rsidR="0054006F">
        <w:rPr>
          <w:rFonts w:ascii="仿宋_GB2312" w:eastAsia="仿宋_GB2312" w:hint="eastAsia"/>
          <w:sz w:val="32"/>
          <w:szCs w:val="32"/>
        </w:rPr>
        <w:t>活动增多，用车量增大，其中4辆车使用时间超过12年，维修成本增加；</w:t>
      </w:r>
      <w:bookmarkStart w:id="62" w:name="OLE_LINK32"/>
      <w:bookmarkStart w:id="63" w:name="OLE_LINK78"/>
      <w:bookmarkStart w:id="64" w:name="OLE_LINK77"/>
      <w:bookmarkEnd w:id="61"/>
      <w:r>
        <w:rPr>
          <w:rFonts w:ascii="仿宋_GB2312" w:eastAsia="仿宋_GB2312" w:hint="eastAsia"/>
          <w:color w:val="000000" w:themeColor="text1"/>
          <w:sz w:val="32"/>
          <w:szCs w:val="32"/>
        </w:rPr>
        <w:t>公务接待费支出</w:t>
      </w:r>
      <w:bookmarkEnd w:id="62"/>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0%，与上年相比，增加0万元，增长0%，主要原因是：无接待费。</w:t>
      </w:r>
      <w:bookmarkEnd w:id="63"/>
      <w:bookmarkEnd w:id="64"/>
      <w:r>
        <w:rPr>
          <w:rFonts w:ascii="仿宋_GB2312" w:eastAsia="仿宋_GB2312" w:hint="eastAsia"/>
          <w:color w:val="000000" w:themeColor="text1"/>
          <w:sz w:val="32"/>
          <w:szCs w:val="32"/>
        </w:rPr>
        <w:t>具体情况如下：</w:t>
      </w:r>
    </w:p>
    <w:p w:rsidR="00184AA3" w:rsidRDefault="00DB45E7">
      <w:pPr>
        <w:spacing w:line="540" w:lineRule="exact"/>
        <w:ind w:firstLineChars="200" w:firstLine="640"/>
        <w:rPr>
          <w:rFonts w:ascii="仿宋_GB2312" w:eastAsia="仿宋_GB2312"/>
          <w:color w:val="000000" w:themeColor="text1"/>
          <w:sz w:val="32"/>
          <w:szCs w:val="32"/>
        </w:rPr>
      </w:pPr>
      <w:bookmarkStart w:id="65" w:name="OLE_LINK80"/>
      <w:bookmarkStart w:id="66" w:name="OLE_LINK79"/>
      <w:r>
        <w:rPr>
          <w:rFonts w:ascii="仿宋_GB2312" w:eastAsia="仿宋_GB2312" w:hint="eastAsia"/>
          <w:color w:val="000000" w:themeColor="text1"/>
          <w:sz w:val="32"/>
          <w:szCs w:val="32"/>
        </w:rPr>
        <w:t>因公出国（境）费支出</w:t>
      </w:r>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新疆维吾尔自治区喀什地区审计局</w:t>
      </w:r>
      <w:r>
        <w:rPr>
          <w:rFonts w:ascii="仿宋_GB2312" w:eastAsia="仿宋_GB2312" w:hint="eastAsia"/>
          <w:color w:val="000000" w:themeColor="text1"/>
          <w:sz w:val="32"/>
          <w:szCs w:val="32"/>
        </w:rPr>
        <w:t>单位</w:t>
      </w:r>
      <w:bookmarkStart w:id="67" w:name="OLE_LINK33"/>
      <w:r>
        <w:rPr>
          <w:rFonts w:ascii="仿宋_GB2312" w:eastAsia="仿宋_GB2312" w:hint="eastAsia"/>
          <w:color w:val="000000" w:themeColor="text1"/>
          <w:sz w:val="32"/>
          <w:szCs w:val="32"/>
        </w:rPr>
        <w:t>全年</w:t>
      </w:r>
      <w:bookmarkStart w:id="68" w:name="OLE_LINK35"/>
      <w:bookmarkStart w:id="69" w:name="OLE_LINK34"/>
      <w:bookmarkStart w:id="70" w:name="OLE_LINK36"/>
      <w:r>
        <w:rPr>
          <w:rFonts w:ascii="仿宋_GB2312" w:eastAsia="仿宋_GB2312" w:hint="eastAsia"/>
          <w:color w:val="000000" w:themeColor="text1"/>
          <w:sz w:val="32"/>
          <w:szCs w:val="32"/>
        </w:rPr>
        <w:t>使用一般公共预算财政拨款安排的出国（境）团组</w:t>
      </w:r>
      <w:bookmarkEnd w:id="67"/>
      <w:bookmarkEnd w:id="68"/>
      <w:bookmarkEnd w:id="69"/>
      <w:r>
        <w:rPr>
          <w:rFonts w:ascii="仿宋_GB2312" w:eastAsia="仿宋_GB2312" w:hint="eastAsia"/>
          <w:sz w:val="32"/>
          <w:szCs w:val="32"/>
        </w:rPr>
        <w:t>0</w:t>
      </w:r>
      <w:r>
        <w:rPr>
          <w:rFonts w:ascii="仿宋_GB2312" w:eastAsia="仿宋_GB2312" w:hint="eastAsia"/>
          <w:color w:val="000000" w:themeColor="text1"/>
          <w:sz w:val="32"/>
          <w:szCs w:val="32"/>
        </w:rPr>
        <w:t>个</w:t>
      </w:r>
      <w:bookmarkEnd w:id="70"/>
      <w:r>
        <w:rPr>
          <w:rFonts w:ascii="仿宋_GB2312" w:eastAsia="仿宋_GB2312" w:hint="eastAsia"/>
          <w:color w:val="000000" w:themeColor="text1"/>
          <w:sz w:val="32"/>
          <w:szCs w:val="32"/>
        </w:rPr>
        <w:t>，</w:t>
      </w:r>
      <w:bookmarkStart w:id="71" w:name="OLE_LINK37"/>
      <w:r>
        <w:rPr>
          <w:rFonts w:ascii="仿宋_GB2312" w:eastAsia="仿宋_GB2312" w:hint="eastAsia"/>
          <w:color w:val="000000" w:themeColor="text1"/>
          <w:sz w:val="32"/>
          <w:szCs w:val="32"/>
        </w:rPr>
        <w:t>累计</w:t>
      </w:r>
      <w:r>
        <w:rPr>
          <w:rFonts w:ascii="仿宋_GB2312" w:eastAsia="仿宋_GB2312" w:hint="eastAsia"/>
          <w:sz w:val="32"/>
          <w:szCs w:val="32"/>
        </w:rPr>
        <w:t>0</w:t>
      </w:r>
      <w:r>
        <w:rPr>
          <w:rFonts w:ascii="仿宋_GB2312" w:eastAsia="仿宋_GB2312" w:hint="eastAsia"/>
          <w:color w:val="000000" w:themeColor="text1"/>
          <w:sz w:val="32"/>
          <w:szCs w:val="32"/>
        </w:rPr>
        <w:t>人次</w:t>
      </w:r>
      <w:bookmarkEnd w:id="71"/>
      <w:r>
        <w:rPr>
          <w:rFonts w:ascii="仿宋_GB2312" w:eastAsia="仿宋_GB2312" w:hint="eastAsia"/>
          <w:color w:val="000000" w:themeColor="text1"/>
          <w:sz w:val="32"/>
          <w:szCs w:val="32"/>
        </w:rPr>
        <w:t>。</w:t>
      </w:r>
      <w:bookmarkStart w:id="72" w:name="OLE_LINK38"/>
      <w:r>
        <w:rPr>
          <w:rFonts w:ascii="仿宋_GB2312" w:eastAsia="仿宋_GB2312" w:hint="eastAsia"/>
          <w:color w:val="000000" w:themeColor="text1"/>
          <w:sz w:val="32"/>
          <w:szCs w:val="32"/>
        </w:rPr>
        <w:t>开支内容包括：</w:t>
      </w:r>
      <w:r>
        <w:rPr>
          <w:rFonts w:ascii="仿宋_GB2312" w:eastAsia="仿宋_GB2312"/>
          <w:color w:val="000000" w:themeColor="text1"/>
          <w:sz w:val="32"/>
          <w:szCs w:val="32"/>
        </w:rPr>
        <w:t>无此项开支。</w:t>
      </w:r>
      <w:bookmarkEnd w:id="65"/>
      <w:bookmarkEnd w:id="66"/>
      <w:bookmarkEnd w:id="72"/>
    </w:p>
    <w:p w:rsidR="00184AA3" w:rsidRDefault="00DB45E7">
      <w:pPr>
        <w:spacing w:line="540" w:lineRule="exact"/>
        <w:ind w:firstLineChars="200" w:firstLine="640"/>
        <w:rPr>
          <w:rFonts w:ascii="仿宋_GB2312" w:eastAsia="仿宋_GB2312"/>
          <w:color w:val="000000" w:themeColor="text1"/>
          <w:sz w:val="32"/>
          <w:szCs w:val="32"/>
        </w:rPr>
      </w:pPr>
      <w:bookmarkStart w:id="73" w:name="OLE_LINK81"/>
      <w:r>
        <w:rPr>
          <w:rFonts w:ascii="仿宋_GB2312" w:eastAsia="仿宋_GB2312" w:hint="eastAsia"/>
          <w:color w:val="000000" w:themeColor="text1"/>
          <w:sz w:val="32"/>
          <w:szCs w:val="32"/>
        </w:rPr>
        <w:t>公务用车购置及运行维护费</w:t>
      </w:r>
      <w:r>
        <w:rPr>
          <w:rFonts w:ascii="仿宋_GB2312" w:eastAsia="仿宋_GB2312" w:hint="eastAsia"/>
          <w:sz w:val="32"/>
          <w:szCs w:val="32"/>
        </w:rPr>
        <w:t>10.5</w:t>
      </w:r>
      <w:r>
        <w:rPr>
          <w:rFonts w:ascii="仿宋_GB2312" w:eastAsia="仿宋_GB2312" w:hint="eastAsia"/>
          <w:color w:val="000000" w:themeColor="text1"/>
          <w:sz w:val="32"/>
          <w:szCs w:val="32"/>
        </w:rPr>
        <w:t>万元,其中，</w:t>
      </w:r>
      <w:bookmarkStart w:id="74" w:name="OLE_LINK39"/>
      <w:r>
        <w:rPr>
          <w:rFonts w:ascii="仿宋_GB2312" w:eastAsia="仿宋_GB2312" w:hint="eastAsia"/>
          <w:color w:val="000000" w:themeColor="text1"/>
          <w:sz w:val="32"/>
          <w:szCs w:val="32"/>
        </w:rPr>
        <w:t>公务用车购置</w:t>
      </w:r>
      <w:r>
        <w:rPr>
          <w:rFonts w:ascii="仿宋_GB2312" w:eastAsia="仿宋_GB2312" w:hint="eastAsia"/>
          <w:sz w:val="32"/>
          <w:szCs w:val="32"/>
        </w:rPr>
        <w:t>0</w:t>
      </w:r>
      <w:r>
        <w:rPr>
          <w:rFonts w:ascii="仿宋_GB2312" w:eastAsia="仿宋_GB2312" w:hint="eastAsia"/>
          <w:color w:val="000000" w:themeColor="text1"/>
          <w:sz w:val="32"/>
          <w:szCs w:val="32"/>
        </w:rPr>
        <w:t>万元</w:t>
      </w:r>
      <w:bookmarkEnd w:id="74"/>
      <w:r>
        <w:rPr>
          <w:rFonts w:ascii="仿宋_GB2312" w:eastAsia="仿宋_GB2312" w:hint="eastAsia"/>
          <w:color w:val="000000" w:themeColor="text1"/>
          <w:sz w:val="32"/>
          <w:szCs w:val="32"/>
        </w:rPr>
        <w:t>，</w:t>
      </w:r>
      <w:bookmarkStart w:id="75" w:name="OLE_LINK41"/>
      <w:bookmarkStart w:id="76" w:name="OLE_LINK40"/>
      <w:r>
        <w:rPr>
          <w:rFonts w:ascii="仿宋_GB2312" w:eastAsia="仿宋_GB2312" w:hint="eastAsia"/>
          <w:color w:val="000000" w:themeColor="text1"/>
          <w:sz w:val="32"/>
          <w:szCs w:val="32"/>
        </w:rPr>
        <w:t>公务用车运行维护费</w:t>
      </w:r>
      <w:r>
        <w:rPr>
          <w:rFonts w:ascii="仿宋_GB2312" w:eastAsia="仿宋_GB2312" w:hint="eastAsia"/>
          <w:sz w:val="32"/>
          <w:szCs w:val="32"/>
        </w:rPr>
        <w:t>10.5</w:t>
      </w:r>
      <w:r>
        <w:rPr>
          <w:rFonts w:ascii="仿宋_GB2312" w:eastAsia="仿宋_GB2312" w:hint="eastAsia"/>
          <w:color w:val="000000" w:themeColor="text1"/>
          <w:sz w:val="32"/>
          <w:szCs w:val="32"/>
        </w:rPr>
        <w:t>万元</w:t>
      </w:r>
      <w:bookmarkEnd w:id="75"/>
      <w:bookmarkEnd w:id="76"/>
      <w:r>
        <w:rPr>
          <w:rFonts w:ascii="仿宋_GB2312" w:eastAsia="仿宋_GB2312" w:hint="eastAsia"/>
          <w:color w:val="000000" w:themeColor="text1"/>
          <w:sz w:val="32"/>
          <w:szCs w:val="32"/>
        </w:rPr>
        <w:t>。主要用于</w:t>
      </w:r>
      <w:r>
        <w:rPr>
          <w:rFonts w:ascii="仿宋_GB2312" w:eastAsia="仿宋_GB2312" w:hint="eastAsia"/>
          <w:sz w:val="32"/>
          <w:szCs w:val="32"/>
        </w:rPr>
        <w:t>单位公务用车油费、车辆保险、车辆维修、年审</w:t>
      </w:r>
      <w:r>
        <w:rPr>
          <w:rFonts w:ascii="仿宋_GB2312" w:eastAsia="仿宋_GB2312" w:hint="eastAsia"/>
          <w:color w:val="000000" w:themeColor="text1"/>
          <w:sz w:val="32"/>
          <w:szCs w:val="32"/>
        </w:rPr>
        <w:t>等。</w:t>
      </w:r>
      <w:bookmarkStart w:id="77" w:name="OLE_LINK82"/>
      <w:bookmarkEnd w:id="73"/>
      <w:r>
        <w:rPr>
          <w:rFonts w:ascii="仿宋_GB2312" w:eastAsia="仿宋_GB2312" w:hint="eastAsia"/>
          <w:color w:val="000000" w:themeColor="text1"/>
          <w:sz w:val="32"/>
          <w:szCs w:val="32"/>
        </w:rPr>
        <w:t>单位一般公共财政拨款安排的公务用车购置量</w:t>
      </w:r>
      <w:r>
        <w:rPr>
          <w:rFonts w:ascii="仿宋_GB2312" w:eastAsia="仿宋_GB2312" w:hint="eastAsia"/>
          <w:sz w:val="32"/>
          <w:szCs w:val="32"/>
        </w:rPr>
        <w:t>0</w:t>
      </w:r>
      <w:r>
        <w:rPr>
          <w:rFonts w:ascii="仿宋_GB2312" w:eastAsia="仿宋_GB2312" w:hint="eastAsia"/>
          <w:color w:val="000000" w:themeColor="text1"/>
          <w:sz w:val="32"/>
          <w:szCs w:val="32"/>
        </w:rPr>
        <w:t>辆，保有量为</w:t>
      </w:r>
      <w:r>
        <w:rPr>
          <w:rFonts w:ascii="仿宋_GB2312" w:eastAsia="仿宋_GB2312" w:hint="eastAsia"/>
          <w:sz w:val="32"/>
          <w:szCs w:val="32"/>
        </w:rPr>
        <w:t>5</w:t>
      </w:r>
      <w:r>
        <w:rPr>
          <w:rFonts w:ascii="仿宋_GB2312" w:eastAsia="仿宋_GB2312" w:hint="eastAsia"/>
          <w:color w:val="000000" w:themeColor="text1"/>
          <w:sz w:val="32"/>
          <w:szCs w:val="32"/>
        </w:rPr>
        <w:t>辆。</w:t>
      </w:r>
      <w:bookmarkEnd w:id="77"/>
    </w:p>
    <w:p w:rsidR="00184AA3" w:rsidRDefault="00DB45E7">
      <w:pPr>
        <w:spacing w:line="540" w:lineRule="exact"/>
        <w:ind w:firstLineChars="200" w:firstLine="640"/>
        <w:rPr>
          <w:rFonts w:ascii="仿宋_GB2312" w:eastAsia="仿宋_GB2312"/>
          <w:color w:val="000000" w:themeColor="text1"/>
          <w:sz w:val="32"/>
          <w:szCs w:val="32"/>
        </w:rPr>
      </w:pPr>
      <w:bookmarkStart w:id="78" w:name="OLE_LINK83"/>
      <w:r>
        <w:rPr>
          <w:rFonts w:ascii="仿宋_GB2312" w:eastAsia="仿宋_GB2312" w:hint="eastAsia"/>
          <w:color w:val="000000" w:themeColor="text1"/>
          <w:sz w:val="32"/>
          <w:szCs w:val="32"/>
        </w:rPr>
        <w:t>公务接待费</w:t>
      </w:r>
      <w:r>
        <w:rPr>
          <w:rFonts w:ascii="仿宋_GB2312" w:eastAsia="仿宋_GB2312" w:hint="eastAsia"/>
          <w:sz w:val="32"/>
          <w:szCs w:val="32"/>
        </w:rPr>
        <w:t>0</w:t>
      </w:r>
      <w:r>
        <w:rPr>
          <w:rFonts w:ascii="仿宋_GB2312" w:eastAsia="仿宋_GB2312" w:hint="eastAsia"/>
          <w:color w:val="000000" w:themeColor="text1"/>
          <w:sz w:val="32"/>
          <w:szCs w:val="32"/>
        </w:rPr>
        <w:t>万元。具体是：国内公务接待支出</w:t>
      </w:r>
      <w:r>
        <w:rPr>
          <w:rFonts w:ascii="仿宋_GB2312" w:eastAsia="仿宋_GB2312" w:hint="eastAsia"/>
          <w:sz w:val="32"/>
          <w:szCs w:val="32"/>
        </w:rPr>
        <w:t>0</w:t>
      </w:r>
      <w:r>
        <w:rPr>
          <w:rFonts w:ascii="仿宋_GB2312" w:eastAsia="仿宋_GB2312" w:hint="eastAsia"/>
          <w:color w:val="000000" w:themeColor="text1"/>
          <w:sz w:val="32"/>
          <w:szCs w:val="32"/>
        </w:rPr>
        <w:t>万元，主要是</w:t>
      </w:r>
      <w:r>
        <w:rPr>
          <w:rFonts w:ascii="仿宋_GB2312" w:eastAsia="仿宋_GB2312" w:hint="eastAsia"/>
          <w:sz w:val="32"/>
          <w:szCs w:val="32"/>
        </w:rPr>
        <w:t>无接待费</w:t>
      </w:r>
      <w:r>
        <w:rPr>
          <w:rFonts w:ascii="仿宋_GB2312" w:eastAsia="仿宋_GB2312" w:hint="eastAsia"/>
          <w:color w:val="000000" w:themeColor="text1"/>
          <w:sz w:val="32"/>
          <w:szCs w:val="32"/>
        </w:rPr>
        <w:t>等。</w:t>
      </w:r>
      <w:bookmarkStart w:id="79" w:name="OLE_LINK84"/>
      <w:bookmarkEnd w:id="78"/>
      <w:r>
        <w:rPr>
          <w:rFonts w:ascii="仿宋_GB2312" w:eastAsia="仿宋_GB2312" w:hint="eastAsia"/>
          <w:sz w:val="32"/>
          <w:szCs w:val="32"/>
        </w:rPr>
        <w:t>新疆维吾尔自治区喀什地区审计局</w:t>
      </w:r>
      <w:r>
        <w:rPr>
          <w:rFonts w:ascii="仿宋_GB2312" w:eastAsia="仿宋_GB2312" w:hint="eastAsia"/>
          <w:color w:val="000000" w:themeColor="text1"/>
          <w:sz w:val="32"/>
          <w:szCs w:val="32"/>
        </w:rPr>
        <w:t>单位国内公务接待</w:t>
      </w:r>
      <w:r>
        <w:rPr>
          <w:rFonts w:ascii="仿宋_GB2312" w:eastAsia="仿宋_GB2312" w:hint="eastAsia"/>
          <w:sz w:val="32"/>
          <w:szCs w:val="32"/>
        </w:rPr>
        <w:t>0</w:t>
      </w:r>
      <w:r>
        <w:rPr>
          <w:rFonts w:ascii="仿宋_GB2312" w:eastAsia="仿宋_GB2312" w:hint="eastAsia"/>
          <w:color w:val="000000" w:themeColor="text1"/>
          <w:sz w:val="32"/>
          <w:szCs w:val="32"/>
        </w:rPr>
        <w:t>批次，</w:t>
      </w:r>
      <w:r>
        <w:rPr>
          <w:rFonts w:ascii="仿宋_GB2312" w:eastAsia="仿宋_GB2312" w:hint="eastAsia"/>
          <w:sz w:val="32"/>
          <w:szCs w:val="32"/>
        </w:rPr>
        <w:t>0</w:t>
      </w:r>
      <w:r>
        <w:rPr>
          <w:rFonts w:ascii="仿宋_GB2312" w:eastAsia="仿宋_GB2312" w:hint="eastAsia"/>
          <w:color w:val="000000" w:themeColor="text1"/>
          <w:sz w:val="32"/>
          <w:szCs w:val="32"/>
        </w:rPr>
        <w:t>人次。</w:t>
      </w:r>
      <w:bookmarkEnd w:id="79"/>
    </w:p>
    <w:p w:rsidR="00184AA3" w:rsidRDefault="00DB45E7">
      <w:pPr>
        <w:spacing w:line="540" w:lineRule="exact"/>
        <w:ind w:firstLineChars="200" w:firstLine="640"/>
        <w:rPr>
          <w:rFonts w:ascii="仿宋_GB2312" w:eastAsia="仿宋_GB2312" w:hAnsi="宋体" w:cs="宋体"/>
          <w:color w:val="000000" w:themeColor="text1"/>
          <w:kern w:val="0"/>
          <w:sz w:val="32"/>
          <w:szCs w:val="32"/>
        </w:rPr>
      </w:pPr>
      <w:bookmarkStart w:id="80" w:name="OLE_LINK85"/>
      <w:r>
        <w:rPr>
          <w:rFonts w:ascii="仿宋_GB2312" w:eastAsia="仿宋_GB2312" w:hint="eastAsia"/>
          <w:color w:val="000000" w:themeColor="text1"/>
          <w:sz w:val="32"/>
          <w:szCs w:val="32"/>
        </w:rPr>
        <w:t>与年初预算数相比情况：一般公共预算“三公”经费支出年初预算数</w:t>
      </w:r>
      <w:r>
        <w:rPr>
          <w:rFonts w:ascii="仿宋_GB2312" w:eastAsia="仿宋_GB2312"/>
          <w:color w:val="000000" w:themeColor="text1"/>
          <w:sz w:val="32"/>
          <w:szCs w:val="32"/>
        </w:rPr>
        <w:t>10.5</w:t>
      </w:r>
      <w:r>
        <w:rPr>
          <w:rFonts w:ascii="仿宋_GB2312" w:eastAsia="仿宋_GB2312" w:hint="eastAsia"/>
          <w:color w:val="000000" w:themeColor="text1"/>
          <w:sz w:val="32"/>
          <w:szCs w:val="32"/>
        </w:rPr>
        <w:t>万元，决算数10.5万元</w:t>
      </w:r>
      <w:r>
        <w:rPr>
          <w:rFonts w:ascii="仿宋_GB2312" w:eastAsia="仿宋_GB2312"/>
          <w:color w:val="000000" w:themeColor="text1"/>
          <w:sz w:val="32"/>
          <w:szCs w:val="32"/>
        </w:rPr>
        <w:t>，预决算差异率0%，差异主要原因是:无差异。</w:t>
      </w:r>
      <w:bookmarkStart w:id="81" w:name="OLE_LINK87"/>
      <w:bookmarkStart w:id="82" w:name="OLE_LINK86"/>
      <w:bookmarkEnd w:id="80"/>
      <w:r>
        <w:rPr>
          <w:rFonts w:ascii="仿宋_GB2312" w:eastAsia="仿宋_GB2312" w:hAnsi="宋体" w:cs="宋体" w:hint="eastAsia"/>
          <w:color w:val="000000" w:themeColor="text1"/>
          <w:kern w:val="0"/>
          <w:sz w:val="32"/>
          <w:szCs w:val="32"/>
        </w:rPr>
        <w:t>其中：因公出国（境）费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，预决算差异率0%，差异主要原因是:无差异；</w:t>
      </w:r>
      <w:bookmarkStart w:id="83" w:name="OLE_LINK88"/>
      <w:bookmarkStart w:id="84" w:name="OLE_LINK89"/>
      <w:bookmarkEnd w:id="81"/>
      <w:bookmarkEnd w:id="82"/>
      <w:r>
        <w:rPr>
          <w:rFonts w:ascii="仿宋_GB2312" w:eastAsia="仿宋_GB2312" w:hAnsi="宋体" w:cs="宋体" w:hint="eastAsia"/>
          <w:color w:val="000000" w:themeColor="text1"/>
          <w:kern w:val="0"/>
          <w:sz w:val="32"/>
          <w:szCs w:val="32"/>
        </w:rPr>
        <w:t>公务用车购置</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w:t>
      </w:r>
      <w:r w:rsidR="001B48F6">
        <w:rPr>
          <w:rFonts w:ascii="仿宋_GB2312" w:eastAsia="仿宋_GB2312" w:hint="eastAsia"/>
          <w:color w:val="000000" w:themeColor="text1"/>
          <w:sz w:val="32"/>
          <w:szCs w:val="32"/>
        </w:rPr>
        <w:t>无差异</w:t>
      </w:r>
      <w:bookmarkStart w:id="85" w:name="_GoBack"/>
      <w:bookmarkEnd w:id="85"/>
      <w:r>
        <w:rPr>
          <w:rFonts w:ascii="仿宋_GB2312" w:eastAsia="仿宋_GB2312"/>
          <w:color w:val="000000" w:themeColor="text1"/>
          <w:sz w:val="32"/>
          <w:szCs w:val="32"/>
        </w:rPr>
        <w:t>；</w:t>
      </w:r>
      <w:bookmarkStart w:id="86" w:name="OLE_LINK90"/>
      <w:bookmarkEnd w:id="83"/>
      <w:bookmarkEnd w:id="84"/>
      <w:r>
        <w:rPr>
          <w:rFonts w:ascii="仿宋_GB2312" w:eastAsia="仿宋_GB2312" w:hAnsi="宋体" w:cs="宋体" w:hint="eastAsia"/>
          <w:color w:val="000000" w:themeColor="text1"/>
          <w:kern w:val="0"/>
          <w:sz w:val="32"/>
          <w:szCs w:val="32"/>
        </w:rPr>
        <w:t>公务用车运行费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10.5</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10.5</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w:t>
      </w:r>
      <w:r>
        <w:rPr>
          <w:rFonts w:ascii="仿宋_GB2312" w:eastAsia="仿宋_GB2312"/>
          <w:color w:val="000000" w:themeColor="text1"/>
          <w:sz w:val="32"/>
          <w:szCs w:val="32"/>
        </w:rPr>
        <w:lastRenderedPageBreak/>
        <w:t>决算差异率0%，差异主要原因是:无差异；</w:t>
      </w:r>
      <w:bookmarkStart w:id="87" w:name="OLE_LINK91"/>
      <w:bookmarkEnd w:id="86"/>
      <w:r>
        <w:rPr>
          <w:rFonts w:ascii="仿宋_GB2312" w:eastAsia="仿宋_GB2312" w:hAnsi="宋体" w:cs="宋体" w:hint="eastAsia"/>
          <w:color w:val="000000" w:themeColor="text1"/>
          <w:kern w:val="0"/>
          <w:sz w:val="32"/>
          <w:szCs w:val="32"/>
        </w:rPr>
        <w:t>公务接待费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7"/>
      <w:r>
        <w:rPr>
          <w:rFonts w:ascii="仿宋_GB2312" w:eastAsia="仿宋_GB2312"/>
          <w:color w:val="000000" w:themeColor="text1"/>
          <w:sz w:val="32"/>
          <w:szCs w:val="32"/>
        </w:rPr>
        <w:t>无接待费。</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五、机关运行经费支出情况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2018年度新疆维吾尔自治区喀什地区审计局机关运行经费支出30.91万元，与上年相比，减少18.14万元，下降36.98%，减少的主要原因是：</w:t>
      </w:r>
      <w:r w:rsidR="00FE48DB">
        <w:rPr>
          <w:rFonts w:ascii="仿宋_GB2312" w:eastAsia="仿宋_GB2312" w:hint="eastAsia"/>
          <w:color w:val="000000" w:themeColor="text1"/>
          <w:sz w:val="32"/>
          <w:szCs w:val="32"/>
        </w:rPr>
        <w:t>项目经费指标在2018年调整至项目支出中。</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六、政府采购情况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2018年度</w:t>
      </w:r>
      <w:bookmarkStart w:id="88" w:name="OLE_LINK45"/>
      <w:r>
        <w:rPr>
          <w:rFonts w:ascii="仿宋_GB2312" w:eastAsia="仿宋_GB2312" w:hint="eastAsia"/>
          <w:color w:val="000000" w:themeColor="text1"/>
          <w:sz w:val="32"/>
          <w:szCs w:val="32"/>
        </w:rPr>
        <w:t>政府采购支出总额</w:t>
      </w:r>
      <w:bookmarkEnd w:id="88"/>
      <w:r>
        <w:rPr>
          <w:rFonts w:ascii="仿宋_GB2312" w:eastAsia="仿宋_GB2312" w:hint="eastAsia"/>
          <w:sz w:val="32"/>
          <w:szCs w:val="32"/>
        </w:rPr>
        <w:t>37.42</w:t>
      </w:r>
      <w:r>
        <w:rPr>
          <w:rFonts w:ascii="仿宋_GB2312" w:eastAsia="仿宋_GB2312" w:hint="eastAsia"/>
          <w:color w:val="000000" w:themeColor="text1"/>
          <w:sz w:val="32"/>
          <w:szCs w:val="32"/>
        </w:rPr>
        <w:t>万元，其中：</w:t>
      </w:r>
      <w:bookmarkStart w:id="89" w:name="OLE_LINK46"/>
      <w:r>
        <w:rPr>
          <w:rFonts w:ascii="仿宋_GB2312" w:eastAsia="仿宋_GB2312" w:hint="eastAsia"/>
          <w:color w:val="000000" w:themeColor="text1"/>
          <w:sz w:val="32"/>
          <w:szCs w:val="32"/>
        </w:rPr>
        <w:t>政府采购货物支出</w:t>
      </w:r>
      <w:bookmarkEnd w:id="89"/>
      <w:r>
        <w:rPr>
          <w:rFonts w:ascii="仿宋_GB2312" w:eastAsia="仿宋_GB2312" w:hint="eastAsia"/>
          <w:sz w:val="32"/>
          <w:szCs w:val="32"/>
        </w:rPr>
        <w:t>34.87</w:t>
      </w:r>
      <w:r>
        <w:rPr>
          <w:rFonts w:ascii="仿宋_GB2312" w:eastAsia="仿宋_GB2312" w:hint="eastAsia"/>
          <w:color w:val="000000" w:themeColor="text1"/>
          <w:sz w:val="32"/>
          <w:szCs w:val="32"/>
        </w:rPr>
        <w:t>万元、</w:t>
      </w:r>
      <w:bookmarkStart w:id="90" w:name="OLE_LINK47"/>
      <w:r>
        <w:rPr>
          <w:rFonts w:ascii="仿宋_GB2312" w:eastAsia="仿宋_GB2312" w:hint="eastAsia"/>
          <w:color w:val="000000" w:themeColor="text1"/>
          <w:sz w:val="32"/>
          <w:szCs w:val="32"/>
        </w:rPr>
        <w:t>政府采购工程支出</w:t>
      </w:r>
      <w:bookmarkEnd w:id="90"/>
      <w:r>
        <w:rPr>
          <w:rFonts w:ascii="仿宋_GB2312" w:eastAsia="仿宋_GB2312" w:hint="eastAsia"/>
          <w:sz w:val="32"/>
          <w:szCs w:val="32"/>
        </w:rPr>
        <w:t>0</w:t>
      </w:r>
      <w:r>
        <w:rPr>
          <w:rFonts w:ascii="仿宋_GB2312" w:eastAsia="仿宋_GB2312" w:hint="eastAsia"/>
          <w:color w:val="000000" w:themeColor="text1"/>
          <w:sz w:val="32"/>
          <w:szCs w:val="32"/>
        </w:rPr>
        <w:t>万元、</w:t>
      </w:r>
      <w:bookmarkStart w:id="91" w:name="OLE_LINK48"/>
      <w:r>
        <w:rPr>
          <w:rFonts w:ascii="仿宋_GB2312" w:eastAsia="仿宋_GB2312" w:hint="eastAsia"/>
          <w:color w:val="000000" w:themeColor="text1"/>
          <w:sz w:val="32"/>
          <w:szCs w:val="32"/>
        </w:rPr>
        <w:t>政府采购服务支出</w:t>
      </w:r>
      <w:bookmarkEnd w:id="91"/>
      <w:r>
        <w:rPr>
          <w:rFonts w:ascii="仿宋_GB2312" w:eastAsia="仿宋_GB2312" w:hint="eastAsia"/>
          <w:sz w:val="32"/>
          <w:szCs w:val="32"/>
        </w:rPr>
        <w:t>2.55</w:t>
      </w:r>
      <w:r>
        <w:rPr>
          <w:rFonts w:ascii="仿宋_GB2312" w:eastAsia="仿宋_GB2312" w:hint="eastAsia"/>
          <w:color w:val="000000" w:themeColor="text1"/>
          <w:sz w:val="32"/>
          <w:szCs w:val="32"/>
        </w:rPr>
        <w:t>万元。</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七、其他重要事项的情况</w:t>
      </w:r>
    </w:p>
    <w:p w:rsidR="00184AA3" w:rsidRDefault="00DB45E7">
      <w:pPr>
        <w:spacing w:line="540" w:lineRule="exact"/>
        <w:ind w:firstLineChars="200" w:firstLine="640"/>
        <w:rPr>
          <w:rFonts w:ascii="楷体_GB2312" w:eastAsia="楷体_GB2312"/>
          <w:b/>
          <w:bCs/>
          <w:color w:val="000000" w:themeColor="text1"/>
          <w:sz w:val="32"/>
          <w:szCs w:val="32"/>
        </w:rPr>
      </w:pPr>
      <w:r>
        <w:rPr>
          <w:rFonts w:ascii="楷体_GB2312" w:eastAsia="楷体_GB2312" w:hint="eastAsia"/>
          <w:b/>
          <w:bCs/>
          <w:color w:val="000000" w:themeColor="text1"/>
          <w:sz w:val="32"/>
          <w:szCs w:val="32"/>
        </w:rPr>
        <w:t>（一）国有资产占用情况说明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92" w:name="OLE_LINK97"/>
      <w:r>
        <w:rPr>
          <w:rFonts w:ascii="仿宋_GB2312" w:eastAsia="仿宋_GB2312" w:hint="eastAsia"/>
          <w:color w:val="000000" w:themeColor="text1"/>
          <w:sz w:val="32"/>
          <w:szCs w:val="32"/>
        </w:rPr>
        <w:t>截至2018年12月31日，单位共有车辆</w:t>
      </w:r>
      <w:r>
        <w:rPr>
          <w:rFonts w:ascii="仿宋_GB2312" w:eastAsia="仿宋_GB2312" w:hint="eastAsia"/>
          <w:sz w:val="32"/>
          <w:szCs w:val="32"/>
        </w:rPr>
        <w:t>5</w:t>
      </w:r>
      <w:r>
        <w:rPr>
          <w:rFonts w:ascii="仿宋_GB2312" w:eastAsia="仿宋_GB2312" w:hint="eastAsia"/>
          <w:color w:val="000000" w:themeColor="text1"/>
          <w:sz w:val="32"/>
          <w:szCs w:val="32"/>
        </w:rPr>
        <w:t>辆，价值</w:t>
      </w:r>
      <w:r>
        <w:rPr>
          <w:rFonts w:ascii="仿宋_GB2312" w:eastAsia="仿宋_GB2312" w:hint="eastAsia"/>
          <w:sz w:val="32"/>
          <w:szCs w:val="32"/>
        </w:rPr>
        <w:t>87.75</w:t>
      </w:r>
      <w:r>
        <w:rPr>
          <w:rFonts w:ascii="仿宋_GB2312" w:eastAsia="仿宋_GB2312" w:hint="eastAsia"/>
          <w:color w:val="000000" w:themeColor="text1"/>
          <w:sz w:val="32"/>
          <w:szCs w:val="32"/>
        </w:rPr>
        <w:t>万元，其中：部级领导干部用车</w:t>
      </w:r>
      <w:r>
        <w:rPr>
          <w:rFonts w:ascii="仿宋_GB2312" w:eastAsia="仿宋_GB2312" w:hint="eastAsia"/>
          <w:sz w:val="32"/>
          <w:szCs w:val="32"/>
        </w:rPr>
        <w:t>0</w:t>
      </w:r>
      <w:r>
        <w:rPr>
          <w:rFonts w:ascii="仿宋_GB2312" w:eastAsia="仿宋_GB2312" w:hint="eastAsia"/>
          <w:color w:val="000000" w:themeColor="text1"/>
          <w:sz w:val="32"/>
          <w:szCs w:val="32"/>
        </w:rPr>
        <w:t>辆、主要领导干部用车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辆、机要通信用车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辆、应急保障用车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辆、执法执勤用车</w:t>
      </w:r>
      <w:r>
        <w:rPr>
          <w:rFonts w:ascii="仿宋_GB2312" w:eastAsia="仿宋_GB2312" w:hint="eastAsia"/>
          <w:sz w:val="32"/>
          <w:szCs w:val="32"/>
        </w:rPr>
        <w:t>0</w:t>
      </w:r>
      <w:r>
        <w:rPr>
          <w:rFonts w:ascii="仿宋_GB2312" w:eastAsia="仿宋_GB2312" w:hint="eastAsia"/>
          <w:color w:val="000000" w:themeColor="text1"/>
          <w:sz w:val="32"/>
          <w:szCs w:val="32"/>
        </w:rPr>
        <w:t>辆、特种专业技术用车</w:t>
      </w:r>
      <w:r>
        <w:rPr>
          <w:rFonts w:ascii="仿宋_GB2312" w:eastAsia="仿宋_GB2312" w:hint="eastAsia"/>
          <w:sz w:val="32"/>
          <w:szCs w:val="32"/>
        </w:rPr>
        <w:t>0</w:t>
      </w:r>
      <w:r>
        <w:rPr>
          <w:rFonts w:ascii="仿宋_GB2312" w:eastAsia="仿宋_GB2312" w:hint="eastAsia"/>
          <w:color w:val="000000" w:themeColor="text1"/>
          <w:sz w:val="32"/>
          <w:szCs w:val="32"/>
        </w:rPr>
        <w:t>辆、离退休干部用车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辆、其他用车</w:t>
      </w:r>
      <w:r>
        <w:rPr>
          <w:rFonts w:ascii="仿宋_GB2312" w:eastAsia="仿宋_GB2312"/>
          <w:color w:val="000000" w:themeColor="text1"/>
          <w:sz w:val="32"/>
          <w:szCs w:val="32"/>
        </w:rPr>
        <w:t>5</w:t>
      </w:r>
      <w:r>
        <w:rPr>
          <w:rFonts w:ascii="仿宋_GB2312" w:eastAsia="仿宋_GB2312" w:hint="eastAsia"/>
          <w:color w:val="000000" w:themeColor="text1"/>
          <w:sz w:val="32"/>
          <w:szCs w:val="32"/>
        </w:rPr>
        <w:t>辆，其他用车主要是：</w:t>
      </w:r>
      <w:r>
        <w:rPr>
          <w:rFonts w:ascii="仿宋_GB2312" w:eastAsia="仿宋_GB2312"/>
          <w:color w:val="000000" w:themeColor="text1"/>
          <w:sz w:val="32"/>
          <w:szCs w:val="32"/>
        </w:rPr>
        <w:t>单位一般公务用车；</w:t>
      </w:r>
      <w:r>
        <w:rPr>
          <w:rFonts w:ascii="仿宋_GB2312" w:eastAsia="仿宋_GB2312" w:hint="eastAsia"/>
          <w:color w:val="000000" w:themeColor="text1"/>
          <w:sz w:val="32"/>
          <w:szCs w:val="32"/>
        </w:rPr>
        <w:t>单位价值50万元以上通用设备</w:t>
      </w:r>
      <w:r>
        <w:rPr>
          <w:rFonts w:ascii="仿宋_GB2312" w:eastAsia="仿宋_GB2312" w:hint="eastAsia"/>
          <w:sz w:val="32"/>
          <w:szCs w:val="32"/>
        </w:rPr>
        <w:t>0</w:t>
      </w:r>
      <w:r>
        <w:rPr>
          <w:rFonts w:ascii="仿宋_GB2312" w:eastAsia="仿宋_GB2312" w:hint="eastAsia"/>
          <w:color w:val="000000" w:themeColor="text1"/>
          <w:sz w:val="32"/>
          <w:szCs w:val="32"/>
        </w:rPr>
        <w:t>台（套）、单位价值100万元以上专用设备</w:t>
      </w:r>
      <w:r>
        <w:rPr>
          <w:rFonts w:ascii="仿宋_GB2312" w:eastAsia="仿宋_GB2312" w:hint="eastAsia"/>
          <w:sz w:val="32"/>
          <w:szCs w:val="32"/>
        </w:rPr>
        <w:t>0</w:t>
      </w:r>
      <w:r>
        <w:rPr>
          <w:rFonts w:ascii="仿宋_GB2312" w:eastAsia="仿宋_GB2312" w:hint="eastAsia"/>
          <w:color w:val="000000" w:themeColor="text1"/>
          <w:sz w:val="32"/>
          <w:szCs w:val="32"/>
        </w:rPr>
        <w:t>台（套）。</w:t>
      </w:r>
      <w:bookmarkEnd w:id="92"/>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（二）预算绩效情况的说明</w:t>
      </w:r>
    </w:p>
    <w:p w:rsidR="0042015D" w:rsidRDefault="00DB45E7" w:rsidP="0042015D">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2018年度，本部门单位预算绩效自评情况：</w:t>
      </w:r>
      <w:r w:rsidR="0042015D" w:rsidRPr="004F0DBA">
        <w:rPr>
          <w:rFonts w:ascii="仿宋_GB2312" w:eastAsia="仿宋_GB2312"/>
          <w:sz w:val="32"/>
          <w:szCs w:val="32"/>
        </w:rPr>
        <w:t>2018年对单位预算支出实行绩效管理，我单位严格按照《喀什地区预算绩效管理办法》执行，更加严格规范单位预算资金支出，通过开展绩效自评，注重资金投入、产出及效果，充分发挥财政资金作用，两个项目的自评</w:t>
      </w:r>
      <w:r w:rsidR="0042015D" w:rsidRPr="004F0DBA">
        <w:rPr>
          <w:rFonts w:ascii="仿宋_GB2312" w:eastAsia="仿宋_GB2312"/>
          <w:sz w:val="32"/>
          <w:szCs w:val="32"/>
        </w:rPr>
        <w:lastRenderedPageBreak/>
        <w:t>分均达到90分。</w:t>
      </w:r>
    </w:p>
    <w:p w:rsidR="003242F9" w:rsidRDefault="005F5F3F">
      <w:pPr>
        <w:spacing w:line="540" w:lineRule="exact"/>
        <w:ind w:left="-1" w:right="-1" w:firstLine="646"/>
        <w:jc w:val="left"/>
      </w:pPr>
      <w:r>
        <w:rPr>
          <w:rFonts w:ascii="仿宋_GB2312" w:eastAsia="仿宋_GB2312" w:hAnsi="仿宋_GB2312" w:cs="仿宋_GB2312"/>
          <w:sz w:val="32"/>
        </w:rPr>
        <w:t>1</w:t>
      </w:r>
      <w:r>
        <w:rPr>
          <w:rFonts w:ascii="仿宋_GB2312" w:eastAsia="仿宋_GB2312" w:hAnsi="仿宋_GB2312" w:cs="仿宋_GB2312"/>
          <w:sz w:val="32"/>
        </w:rPr>
        <w:t>、专项审计事物支出项目绩效自评综述：根据年初设定的绩效目标，该项目绩效自评得分为</w:t>
      </w:r>
      <w:r>
        <w:rPr>
          <w:rFonts w:ascii="仿宋_GB2312" w:eastAsia="仿宋_GB2312" w:hAnsi="仿宋_GB2312" w:cs="仿宋_GB2312"/>
          <w:sz w:val="32"/>
        </w:rPr>
        <w:t>90</w:t>
      </w:r>
      <w:r>
        <w:rPr>
          <w:rFonts w:ascii="仿宋_GB2312" w:eastAsia="仿宋_GB2312" w:hAnsi="仿宋_GB2312" w:cs="仿宋_GB2312"/>
          <w:sz w:val="32"/>
        </w:rPr>
        <w:t>分。项目全年预算数为</w:t>
      </w:r>
      <w:r>
        <w:rPr>
          <w:rFonts w:ascii="仿宋_GB2312" w:eastAsia="仿宋_GB2312" w:hAnsi="仿宋_GB2312" w:cs="仿宋_GB2312"/>
          <w:sz w:val="32"/>
        </w:rPr>
        <w:t>213.1</w:t>
      </w:r>
      <w:r>
        <w:rPr>
          <w:rFonts w:ascii="仿宋_GB2312" w:eastAsia="仿宋_GB2312" w:hAnsi="仿宋_GB2312" w:cs="仿宋_GB2312"/>
          <w:sz w:val="32"/>
        </w:rPr>
        <w:t>万元，执行数为</w:t>
      </w:r>
      <w:r>
        <w:rPr>
          <w:rFonts w:ascii="仿宋_GB2312" w:eastAsia="仿宋_GB2312" w:hAnsi="仿宋_GB2312" w:cs="仿宋_GB2312"/>
          <w:sz w:val="32"/>
        </w:rPr>
        <w:t>213.1</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。主要产出和效果：经济性：</w:t>
      </w:r>
      <w:r>
        <w:rPr>
          <w:rFonts w:ascii="仿宋_GB2312" w:eastAsia="仿宋_GB2312" w:hAnsi="仿宋_GB2312" w:cs="仿宋_GB2312"/>
          <w:sz w:val="32"/>
        </w:rPr>
        <w:t>3</w:t>
      </w:r>
      <w:r>
        <w:rPr>
          <w:rFonts w:ascii="仿宋_GB2312" w:eastAsia="仿宋_GB2312" w:hAnsi="仿宋_GB2312" w:cs="仿宋_GB2312"/>
          <w:sz w:val="32"/>
        </w:rPr>
        <w:t>批扶贫项目审计产生差旅费</w:t>
      </w:r>
      <w:r>
        <w:rPr>
          <w:rFonts w:ascii="仿宋_GB2312" w:eastAsia="仿宋_GB2312" w:hAnsi="仿宋_GB2312" w:cs="仿宋_GB2312"/>
          <w:sz w:val="32"/>
        </w:rPr>
        <w:t>213.1</w:t>
      </w:r>
      <w:r>
        <w:rPr>
          <w:rFonts w:ascii="仿宋_GB2312" w:eastAsia="仿宋_GB2312" w:hAnsi="仿宋_GB2312" w:cs="仿宋_GB2312"/>
          <w:sz w:val="32"/>
        </w:rPr>
        <w:t>万元，发现扶贫领域违规资金</w:t>
      </w:r>
      <w:r>
        <w:rPr>
          <w:rFonts w:ascii="仿宋_GB2312" w:eastAsia="仿宋_GB2312" w:hAnsi="仿宋_GB2312" w:cs="仿宋_GB2312"/>
          <w:sz w:val="32"/>
        </w:rPr>
        <w:t>5857</w:t>
      </w:r>
      <w:r>
        <w:rPr>
          <w:rFonts w:ascii="仿宋_GB2312" w:eastAsia="仿宋_GB2312" w:hAnsi="仿宋_GB2312" w:cs="仿宋_GB2312"/>
          <w:sz w:val="32"/>
        </w:rPr>
        <w:t>万元。差旅费支出严格按照《喀什地区机关事业单位差旅费管理办法》执行，厉行节俭，保证审计质量。</w:t>
      </w:r>
      <w:r>
        <w:rPr>
          <w:rFonts w:ascii="仿宋_GB2312" w:eastAsia="仿宋_GB2312" w:hAnsi="仿宋_GB2312" w:cs="仿宋_GB2312"/>
          <w:sz w:val="32"/>
        </w:rPr>
        <w:t xml:space="preserve"> </w:t>
      </w:r>
      <w:r>
        <w:rPr>
          <w:rFonts w:ascii="仿宋_GB2312" w:eastAsia="仿宋_GB2312" w:hAnsi="仿宋_GB2312" w:cs="仿宋_GB2312"/>
          <w:sz w:val="32"/>
        </w:rPr>
        <w:t>效率性：在每批</w:t>
      </w:r>
      <w:r>
        <w:rPr>
          <w:rFonts w:ascii="仿宋_GB2312" w:eastAsia="仿宋_GB2312" w:hAnsi="仿宋_GB2312" w:cs="仿宋_GB2312"/>
          <w:sz w:val="32"/>
        </w:rPr>
        <w:t>45</w:t>
      </w:r>
      <w:r>
        <w:rPr>
          <w:rFonts w:ascii="仿宋_GB2312" w:eastAsia="仿宋_GB2312" w:hAnsi="仿宋_GB2312" w:cs="仿宋_GB2312"/>
          <w:sz w:val="32"/>
        </w:rPr>
        <w:t>天审计时间内，查处扶贫审计领域问题</w:t>
      </w:r>
      <w:r>
        <w:rPr>
          <w:rFonts w:ascii="仿宋_GB2312" w:eastAsia="仿宋_GB2312" w:hAnsi="仿宋_GB2312" w:cs="仿宋_GB2312"/>
          <w:sz w:val="32"/>
        </w:rPr>
        <w:t>1757</w:t>
      </w:r>
      <w:r>
        <w:rPr>
          <w:rFonts w:ascii="仿宋_GB2312" w:eastAsia="仿宋_GB2312" w:hAnsi="仿宋_GB2312" w:cs="仿宋_GB2312"/>
          <w:sz w:val="32"/>
        </w:rPr>
        <w:t>个，被审计单位整改了</w:t>
      </w:r>
      <w:r>
        <w:rPr>
          <w:rFonts w:ascii="仿宋_GB2312" w:eastAsia="仿宋_GB2312" w:hAnsi="仿宋_GB2312" w:cs="仿宋_GB2312"/>
          <w:sz w:val="32"/>
        </w:rPr>
        <w:t>1425</w:t>
      </w:r>
      <w:r>
        <w:rPr>
          <w:rFonts w:ascii="仿宋_GB2312" w:eastAsia="仿宋_GB2312" w:hAnsi="仿宋_GB2312" w:cs="仿宋_GB2312"/>
          <w:sz w:val="32"/>
        </w:rPr>
        <w:t>个问题，整改率达</w:t>
      </w:r>
      <w:r>
        <w:rPr>
          <w:rFonts w:ascii="仿宋_GB2312" w:eastAsia="仿宋_GB2312" w:hAnsi="仿宋_GB2312" w:cs="仿宋_GB2312"/>
          <w:sz w:val="32"/>
        </w:rPr>
        <w:t>81.1%</w:t>
      </w:r>
      <w:r>
        <w:rPr>
          <w:rFonts w:ascii="仿宋_GB2312" w:eastAsia="仿宋_GB2312" w:hAnsi="仿宋_GB2312" w:cs="仿宋_GB2312"/>
          <w:sz w:val="32"/>
        </w:rPr>
        <w:t>。</w:t>
      </w:r>
      <w:r>
        <w:rPr>
          <w:rFonts w:ascii="仿宋_GB2312" w:eastAsia="仿宋_GB2312" w:hAnsi="仿宋_GB2312" w:cs="仿宋_GB2312"/>
          <w:sz w:val="32"/>
        </w:rPr>
        <w:t xml:space="preserve"> </w:t>
      </w:r>
      <w:r>
        <w:rPr>
          <w:rFonts w:ascii="仿宋_GB2312" w:eastAsia="仿宋_GB2312" w:hAnsi="仿宋_GB2312" w:cs="仿宋_GB2312"/>
          <w:sz w:val="32"/>
        </w:rPr>
        <w:t>效益性：被审计单位对审计建议采纳率达</w:t>
      </w:r>
      <w:r>
        <w:rPr>
          <w:rFonts w:ascii="仿宋_GB2312" w:eastAsia="仿宋_GB2312" w:hAnsi="仿宋_GB2312" w:cs="仿宋_GB2312"/>
          <w:sz w:val="32"/>
        </w:rPr>
        <w:t>99%</w:t>
      </w:r>
      <w:r>
        <w:rPr>
          <w:rFonts w:ascii="仿宋_GB2312" w:eastAsia="仿宋_GB2312" w:hAnsi="仿宋_GB2312" w:cs="仿宋_GB2312"/>
          <w:sz w:val="32"/>
        </w:rPr>
        <w:t>。每季度审计一次，每次影响周期</w:t>
      </w:r>
      <w:r>
        <w:rPr>
          <w:rFonts w:ascii="仿宋_GB2312" w:eastAsia="仿宋_GB2312" w:hAnsi="仿宋_GB2312" w:cs="仿宋_GB2312"/>
          <w:sz w:val="32"/>
        </w:rPr>
        <w:t>3</w:t>
      </w:r>
      <w:r>
        <w:rPr>
          <w:rFonts w:ascii="仿宋_GB2312" w:eastAsia="仿宋_GB2312" w:hAnsi="仿宋_GB2312" w:cs="仿宋_GB2312"/>
          <w:sz w:val="32"/>
        </w:rPr>
        <w:t>个月，被审计单位对审计提出问题满意度达</w:t>
      </w:r>
      <w:r>
        <w:rPr>
          <w:rFonts w:ascii="仿宋_GB2312" w:eastAsia="仿宋_GB2312" w:hAnsi="仿宋_GB2312" w:cs="仿宋_GB2312"/>
          <w:sz w:val="32"/>
        </w:rPr>
        <w:t>99%</w:t>
      </w:r>
      <w:r>
        <w:rPr>
          <w:rFonts w:ascii="仿宋_GB2312" w:eastAsia="仿宋_GB2312" w:hAnsi="仿宋_GB2312" w:cs="仿宋_GB2312"/>
          <w:sz w:val="32"/>
        </w:rPr>
        <w:t>。发现的问题及原因：由于本项目在具体资</w:t>
      </w:r>
      <w:r>
        <w:rPr>
          <w:rFonts w:ascii="仿宋_GB2312" w:eastAsia="仿宋_GB2312" w:hAnsi="仿宋_GB2312" w:cs="仿宋_GB2312"/>
          <w:sz w:val="32"/>
        </w:rPr>
        <w:t>金使用中跟年初预算相差很大，审计人员在分批审计调查期间产生的住宿费金额比较大，由于资金追加和拨付不及时，不能及时跟宾馆结账，很多审计组产生的住宿费都有审计组长自己垫付。下一步改进措施：</w:t>
      </w:r>
      <w:r>
        <w:rPr>
          <w:rFonts w:ascii="仿宋_GB2312" w:eastAsia="仿宋_GB2312" w:hAnsi="仿宋_GB2312" w:cs="仿宋_GB2312"/>
          <w:sz w:val="32"/>
        </w:rPr>
        <w:t xml:space="preserve"> </w:t>
      </w:r>
      <w:r>
        <w:rPr>
          <w:rFonts w:ascii="仿宋_GB2312" w:eastAsia="仿宋_GB2312" w:hAnsi="仿宋_GB2312" w:cs="仿宋_GB2312"/>
          <w:sz w:val="32"/>
        </w:rPr>
        <w:t>在</w:t>
      </w:r>
      <w:r>
        <w:rPr>
          <w:rFonts w:ascii="仿宋_GB2312" w:eastAsia="仿宋_GB2312" w:hAnsi="仿宋_GB2312" w:cs="仿宋_GB2312"/>
          <w:sz w:val="32"/>
        </w:rPr>
        <w:t>2019</w:t>
      </w:r>
      <w:r>
        <w:rPr>
          <w:rFonts w:ascii="仿宋_GB2312" w:eastAsia="仿宋_GB2312" w:hAnsi="仿宋_GB2312" w:cs="仿宋_GB2312"/>
          <w:sz w:val="32"/>
        </w:rPr>
        <w:t>年初项目预算中下拨足额指标，在审计调查期间审计局财务人员积极与各审计组进行沟通，了解住宿情况，及时把住宿费拨付给宾馆，防止住宿费由个人垫付的情况。</w:t>
      </w:r>
    </w:p>
    <w:p w:rsidR="003242F9" w:rsidRDefault="005F5F3F">
      <w:pPr>
        <w:spacing w:line="540" w:lineRule="exact"/>
        <w:ind w:left="-1" w:right="-1" w:firstLine="646"/>
        <w:jc w:val="left"/>
      </w:pPr>
      <w:r>
        <w:rPr>
          <w:rFonts w:ascii="仿宋_GB2312" w:eastAsia="仿宋_GB2312" w:hAnsi="仿宋_GB2312" w:cs="仿宋_GB2312"/>
          <w:sz w:val="32"/>
        </w:rPr>
        <w:t>2</w:t>
      </w:r>
      <w:r>
        <w:rPr>
          <w:rFonts w:ascii="仿宋_GB2312" w:eastAsia="仿宋_GB2312" w:hAnsi="仿宋_GB2312" w:cs="仿宋_GB2312"/>
          <w:sz w:val="32"/>
        </w:rPr>
        <w:t>、其他审计工作经费支出项目绩效自评综述：根据年初设定的绩效目标，该项目绩效自评得分为</w:t>
      </w:r>
      <w:r>
        <w:rPr>
          <w:rFonts w:ascii="仿宋_GB2312" w:eastAsia="仿宋_GB2312" w:hAnsi="仿宋_GB2312" w:cs="仿宋_GB2312"/>
          <w:sz w:val="32"/>
        </w:rPr>
        <w:t>90.2</w:t>
      </w:r>
      <w:r>
        <w:rPr>
          <w:rFonts w:ascii="仿宋_GB2312" w:eastAsia="仿宋_GB2312" w:hAnsi="仿宋_GB2312" w:cs="仿宋_GB2312"/>
          <w:sz w:val="32"/>
        </w:rPr>
        <w:t>分。项目全年预算数为</w:t>
      </w:r>
      <w:r>
        <w:rPr>
          <w:rFonts w:ascii="仿宋_GB2312" w:eastAsia="仿宋_GB2312" w:hAnsi="仿宋_GB2312" w:cs="仿宋_GB2312"/>
          <w:sz w:val="32"/>
        </w:rPr>
        <w:t>34</w:t>
      </w:r>
      <w:r>
        <w:rPr>
          <w:rFonts w:ascii="仿宋_GB2312" w:eastAsia="仿宋_GB2312" w:hAnsi="仿宋_GB2312" w:cs="仿宋_GB2312"/>
          <w:sz w:val="32"/>
        </w:rPr>
        <w:t>万元，执行数为</w:t>
      </w:r>
      <w:r>
        <w:rPr>
          <w:rFonts w:ascii="仿宋_GB2312" w:eastAsia="仿宋_GB2312" w:hAnsi="仿宋_GB2312" w:cs="仿宋_GB2312"/>
          <w:sz w:val="32"/>
        </w:rPr>
        <w:t>33.5</w:t>
      </w:r>
      <w:r>
        <w:rPr>
          <w:rFonts w:ascii="仿宋_GB2312" w:eastAsia="仿宋_GB2312" w:hAnsi="仿宋_GB2312" w:cs="仿宋_GB2312"/>
          <w:sz w:val="32"/>
        </w:rPr>
        <w:t>万元，完成预算的</w:t>
      </w:r>
      <w:r>
        <w:rPr>
          <w:rFonts w:ascii="仿宋_GB2312" w:eastAsia="仿宋_GB2312" w:hAnsi="仿宋_GB2312" w:cs="仿宋_GB2312"/>
          <w:sz w:val="32"/>
        </w:rPr>
        <w:t>98.53%</w:t>
      </w:r>
      <w:r>
        <w:rPr>
          <w:rFonts w:ascii="仿宋_GB2312" w:eastAsia="仿宋_GB2312" w:hAnsi="仿宋_GB2312" w:cs="仿宋_GB2312"/>
          <w:sz w:val="32"/>
        </w:rPr>
        <w:t>。主要产出和效果：</w:t>
      </w:r>
      <w:r>
        <w:rPr>
          <w:rFonts w:ascii="仿宋_GB2312" w:eastAsia="仿宋_GB2312" w:hAnsi="仿宋_GB2312" w:cs="仿宋_GB2312"/>
          <w:sz w:val="32"/>
        </w:rPr>
        <w:t>2018</w:t>
      </w:r>
      <w:r>
        <w:rPr>
          <w:rFonts w:ascii="仿宋_GB2312" w:eastAsia="仿宋_GB2312" w:hAnsi="仿宋_GB2312" w:cs="仿宋_GB2312"/>
          <w:sz w:val="32"/>
        </w:rPr>
        <w:t>年通过走访慰问贫困户覆盖率达到</w:t>
      </w:r>
      <w:r>
        <w:rPr>
          <w:rFonts w:ascii="仿宋_GB2312" w:eastAsia="仿宋_GB2312" w:hAnsi="仿宋_GB2312" w:cs="仿宋_GB2312"/>
          <w:sz w:val="32"/>
        </w:rPr>
        <w:t>100%</w:t>
      </w:r>
      <w:r>
        <w:rPr>
          <w:rFonts w:ascii="仿宋_GB2312" w:eastAsia="仿宋_GB2312" w:hAnsi="仿宋_GB2312" w:cs="仿宋_GB2312"/>
          <w:sz w:val="32"/>
        </w:rPr>
        <w:t>。通过开展民族团结活动，各族群众民族团结基石更加稳固，贫困户满意度不断提高，贫困户满意度达到</w:t>
      </w:r>
      <w:r>
        <w:rPr>
          <w:rFonts w:ascii="仿宋_GB2312" w:eastAsia="仿宋_GB2312" w:hAnsi="仿宋_GB2312" w:cs="仿宋_GB2312"/>
          <w:sz w:val="32"/>
        </w:rPr>
        <w:t>95%</w:t>
      </w:r>
      <w:r>
        <w:rPr>
          <w:rFonts w:ascii="仿宋_GB2312" w:eastAsia="仿宋_GB2312" w:hAnsi="仿宋_GB2312" w:cs="仿宋_GB2312"/>
          <w:sz w:val="32"/>
        </w:rPr>
        <w:t>。发现的问题及原因：预算测算不够精准，对</w:t>
      </w:r>
      <w:r>
        <w:rPr>
          <w:rFonts w:ascii="仿宋_GB2312" w:eastAsia="仿宋_GB2312" w:hAnsi="仿宋_GB2312" w:cs="仿宋_GB2312"/>
          <w:sz w:val="32"/>
        </w:rPr>
        <w:lastRenderedPageBreak/>
        <w:t>有关工作缺乏系统性研究。下一步改进措施：</w:t>
      </w:r>
      <w:r>
        <w:rPr>
          <w:rFonts w:ascii="仿宋_GB2312" w:eastAsia="仿宋_GB2312" w:hAnsi="仿宋_GB2312" w:cs="仿宋_GB2312"/>
          <w:sz w:val="32"/>
        </w:rPr>
        <w:t xml:space="preserve"> </w:t>
      </w:r>
      <w:r>
        <w:rPr>
          <w:rFonts w:ascii="仿宋_GB2312" w:eastAsia="仿宋_GB2312" w:hAnsi="仿宋_GB2312" w:cs="仿宋_GB2312"/>
          <w:sz w:val="32"/>
        </w:rPr>
        <w:t>严格按照</w:t>
      </w:r>
      <w:r>
        <w:rPr>
          <w:rFonts w:ascii="仿宋_GB2312" w:eastAsia="仿宋_GB2312" w:hAnsi="仿宋_GB2312" w:cs="仿宋_GB2312"/>
          <w:sz w:val="32"/>
        </w:rPr>
        <w:t>“</w:t>
      </w:r>
      <w:r>
        <w:rPr>
          <w:rFonts w:ascii="仿宋_GB2312" w:eastAsia="仿宋_GB2312" w:hAnsi="仿宋_GB2312" w:cs="仿宋_GB2312"/>
          <w:sz w:val="32"/>
        </w:rPr>
        <w:t>支出跟着预算走</w:t>
      </w:r>
      <w:r>
        <w:rPr>
          <w:rFonts w:ascii="仿宋_GB2312" w:eastAsia="仿宋_GB2312" w:hAnsi="仿宋_GB2312" w:cs="仿宋_GB2312"/>
          <w:sz w:val="32"/>
        </w:rPr>
        <w:t>”</w:t>
      </w:r>
      <w:r>
        <w:rPr>
          <w:rFonts w:ascii="仿宋_GB2312" w:eastAsia="仿宋_GB2312" w:hAnsi="仿宋_GB2312" w:cs="仿宋_GB2312"/>
          <w:sz w:val="32"/>
        </w:rPr>
        <w:t>的目标，做好</w:t>
      </w:r>
      <w:r>
        <w:rPr>
          <w:rFonts w:ascii="仿宋_GB2312" w:eastAsia="仿宋_GB2312" w:hAnsi="仿宋_GB2312" w:cs="仿宋_GB2312"/>
          <w:sz w:val="32"/>
        </w:rPr>
        <w:t>2018</w:t>
      </w:r>
      <w:r>
        <w:rPr>
          <w:rFonts w:ascii="仿宋_GB2312" w:eastAsia="仿宋_GB2312" w:hAnsi="仿宋_GB2312" w:cs="仿宋_GB2312"/>
          <w:sz w:val="32"/>
        </w:rPr>
        <w:t>年各项支出工作。同时准确编制</w:t>
      </w:r>
      <w:r>
        <w:rPr>
          <w:rFonts w:ascii="仿宋_GB2312" w:eastAsia="仿宋_GB2312" w:hAnsi="仿宋_GB2312" w:cs="仿宋_GB2312"/>
          <w:sz w:val="32"/>
        </w:rPr>
        <w:t>2019</w:t>
      </w:r>
      <w:r>
        <w:rPr>
          <w:rFonts w:ascii="仿宋_GB2312" w:eastAsia="仿宋_GB2312" w:hAnsi="仿宋_GB2312" w:cs="仿宋_GB2312"/>
          <w:sz w:val="32"/>
        </w:rPr>
        <w:t>年的部门预算收支数据，在人员经费、公用经费、专项经费科学合理编制的基础上，其他收入全部纳入部门预算之内，经费结余作为资金来源编入部门预算，促使系统部门预算编制更加完整、全面、真实。</w:t>
      </w:r>
    </w:p>
    <w:p w:rsidR="00184AA3" w:rsidRDefault="00DB45E7" w:rsidP="009256E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ascii="仿宋_GB2312" w:eastAsia="仿宋_GB2312" w:hint="eastAsia"/>
          <w:sz w:val="32"/>
          <w:szCs w:val="32"/>
        </w:rPr>
        <w:t>有关项目自评情况可附项目支出绩效自评表。</w:t>
      </w: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第三部分 专业名词解释</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w:t>
      </w:r>
      <w:r>
        <w:rPr>
          <w:rFonts w:ascii="仿宋_GB2312" w:eastAsia="仿宋_GB2312" w:hint="eastAsia"/>
          <w:sz w:val="32"/>
          <w:szCs w:val="32"/>
        </w:rPr>
        <w:lastRenderedPageBreak/>
        <w:t>弥补以后年度收支差额的基金）弥补本年度收支缺口的资金。</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w:t>
      </w:r>
      <w:r>
        <w:rPr>
          <w:rFonts w:ascii="仿宋_GB2312" w:eastAsia="仿宋_GB2312" w:hint="eastAsia"/>
          <w:sz w:val="32"/>
          <w:szCs w:val="32"/>
        </w:rPr>
        <w:lastRenderedPageBreak/>
        <w:t>待）支出。</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r>
        <w:rPr>
          <w:rFonts w:ascii="仿宋_GB2312" w:eastAsia="仿宋_GB2312" w:hint="eastAsia"/>
          <w:color w:val="000000" w:themeColor="text1"/>
          <w:sz w:val="32"/>
          <w:szCs w:val="32"/>
        </w:rPr>
        <w:t>本单位支出功能分类说明</w:t>
      </w:r>
      <w:r>
        <w:rPr>
          <w:rFonts w:ascii="仿宋_GB2312" w:eastAsia="仿宋_GB2312" w:hAnsi="Calibri" w:hint="eastAsia"/>
          <w:color w:val="000000" w:themeColor="text1"/>
          <w:sz w:val="32"/>
          <w:szCs w:val="32"/>
          <w:lang w:val="en-GB"/>
        </w:rPr>
        <w:t>。</w:t>
      </w:r>
      <w:r>
        <w:rPr>
          <w:rFonts w:ascii="仿宋_GB2312" w:eastAsia="仿宋_GB2312" w:hint="eastAsia"/>
          <w:sz w:val="32"/>
          <w:szCs w:val="32"/>
        </w:rPr>
        <w:t>201（类）08（款）02（项）指：一般行政管理事务。201（类）08（款）01（项）指：行政运行。221（类）02（款）01（项）指：住房公积金。205（类）02（款）01（项）指：学前教育。229（类）99（款）01（项）指：其他支出。208（类）05（款）05（项）指：机关事业单位基本养老保险缴费支出。</w:t>
      </w:r>
    </w:p>
    <w:p w:rsidR="00184AA3" w:rsidRDefault="00DB45E7">
      <w:pPr>
        <w:spacing w:line="54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184AA3" w:rsidRDefault="00184AA3">
      <w:pPr>
        <w:spacing w:line="540" w:lineRule="exact"/>
        <w:ind w:firstLineChars="200" w:firstLine="640"/>
        <w:rPr>
          <w:rFonts w:ascii="仿宋_GB2312" w:eastAsia="仿宋_GB2312"/>
          <w:b/>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第四部分 部门决算公开的8张报表（见附表）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七、《一般公共预算财政拨款“三公”经费支出决算表》</w:t>
      </w:r>
    </w:p>
    <w:p w:rsidR="00184AA3" w:rsidRDefault="00DB45E7">
      <w:pPr>
        <w:spacing w:line="540" w:lineRule="exact"/>
        <w:ind w:firstLineChars="200" w:firstLine="640"/>
        <w:rPr>
          <w:rFonts w:ascii="仿宋_GB2312" w:eastAsia="仿宋_GB2312"/>
          <w:sz w:val="32"/>
          <w:szCs w:val="32"/>
        </w:rPr>
        <w:sectPr w:rsidR="00184AA3">
          <w:footerReference w:type="even" r:id="rId8"/>
          <w:footerReference w:type="default" r:id="rId9"/>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hint="eastAsia"/>
          <w:sz w:val="32"/>
          <w:szCs w:val="32"/>
        </w:rPr>
        <w:t>八、</w:t>
      </w:r>
      <w:r>
        <w:rPr>
          <w:rFonts w:ascii="仿宋_GB2312" w:eastAsia="仿宋_GB2312" w:hint="eastAsia"/>
          <w:sz w:val="32"/>
          <w:szCs w:val="32"/>
        </w:rPr>
        <w:t>《政府性基金预算财政拨款收入支出决算表》</w:t>
      </w:r>
    </w:p>
    <w:p w:rsidR="00184AA3" w:rsidRDefault="00184AA3">
      <w:pPr>
        <w:spacing w:line="540" w:lineRule="exact"/>
        <w:rPr>
          <w:rFonts w:ascii="仿宋_GB2312" w:eastAsia="仿宋_GB2312"/>
          <w:sz w:val="32"/>
          <w:szCs w:val="32"/>
        </w:rPr>
      </w:pPr>
    </w:p>
    <w:sectPr w:rsidR="00184AA3" w:rsidSect="00184AA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F3F" w:rsidRDefault="005F5F3F" w:rsidP="00184AA3">
      <w:r>
        <w:separator/>
      </w:r>
    </w:p>
  </w:endnote>
  <w:endnote w:type="continuationSeparator" w:id="0">
    <w:p w:rsidR="005F5F3F" w:rsidRDefault="005F5F3F" w:rsidP="00184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AA3" w:rsidRDefault="00667D4E">
    <w:pPr>
      <w:pStyle w:val="a5"/>
      <w:framePr w:wrap="around" w:vAnchor="text" w:hAnchor="page" w:x="1756" w:y="37"/>
      <w:rPr>
        <w:rStyle w:val="a8"/>
        <w:rFonts w:ascii="宋体" w:eastAsia="宋体" w:hAnsi="宋体"/>
        <w:sz w:val="28"/>
        <w:szCs w:val="28"/>
      </w:rPr>
    </w:pPr>
    <w:r>
      <w:rPr>
        <w:rStyle w:val="a8"/>
        <w:rFonts w:ascii="宋体" w:eastAsia="宋体" w:hAnsi="宋体"/>
        <w:sz w:val="28"/>
        <w:szCs w:val="28"/>
      </w:rPr>
      <w:fldChar w:fldCharType="begin"/>
    </w:r>
    <w:r w:rsidR="00DB45E7">
      <w:rPr>
        <w:rStyle w:val="a8"/>
        <w:rFonts w:ascii="宋体" w:eastAsia="宋体" w:hAnsi="宋体"/>
        <w:sz w:val="28"/>
        <w:szCs w:val="28"/>
      </w:rPr>
      <w:instrText xml:space="preserve">PAGE  </w:instrText>
    </w:r>
    <w:r>
      <w:rPr>
        <w:rStyle w:val="a8"/>
        <w:rFonts w:ascii="宋体" w:eastAsia="宋体" w:hAnsi="宋体"/>
        <w:sz w:val="28"/>
        <w:szCs w:val="28"/>
      </w:rPr>
      <w:fldChar w:fldCharType="separate"/>
    </w:r>
    <w:r w:rsidR="00DB45E7">
      <w:rPr>
        <w:rStyle w:val="a8"/>
        <w:rFonts w:ascii="宋体" w:eastAsia="宋体" w:hAnsi="宋体"/>
        <w:sz w:val="28"/>
        <w:szCs w:val="28"/>
      </w:rPr>
      <w:t>- 12 -</w:t>
    </w:r>
    <w:r>
      <w:rPr>
        <w:rStyle w:val="a8"/>
        <w:rFonts w:ascii="宋体" w:eastAsia="宋体" w:hAnsi="宋体"/>
        <w:sz w:val="28"/>
        <w:szCs w:val="28"/>
      </w:rPr>
      <w:fldChar w:fldCharType="end"/>
    </w:r>
  </w:p>
  <w:p w:rsidR="00184AA3" w:rsidRDefault="00184AA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AA3" w:rsidRDefault="00667D4E">
    <w:pPr>
      <w:pStyle w:val="a5"/>
      <w:framePr w:wrap="around" w:vAnchor="text" w:hAnchor="page" w:x="9631" w:y="37"/>
      <w:jc w:val="right"/>
      <w:rPr>
        <w:rStyle w:val="a8"/>
        <w:rFonts w:ascii="宋体" w:eastAsia="宋体" w:hAnsi="宋体"/>
        <w:sz w:val="28"/>
      </w:rPr>
    </w:pPr>
    <w:r>
      <w:rPr>
        <w:rStyle w:val="a8"/>
        <w:rFonts w:ascii="宋体" w:eastAsia="宋体" w:hAnsi="宋体"/>
        <w:sz w:val="28"/>
      </w:rPr>
      <w:fldChar w:fldCharType="begin"/>
    </w:r>
    <w:r w:rsidR="00DB45E7">
      <w:rPr>
        <w:rStyle w:val="a8"/>
        <w:rFonts w:ascii="宋体" w:eastAsia="宋体" w:hAnsi="宋体"/>
        <w:sz w:val="28"/>
      </w:rPr>
      <w:instrText xml:space="preserve"> PAGE </w:instrText>
    </w:r>
    <w:r>
      <w:rPr>
        <w:rStyle w:val="a8"/>
        <w:rFonts w:ascii="宋体" w:eastAsia="宋体" w:hAnsi="宋体"/>
        <w:sz w:val="28"/>
      </w:rPr>
      <w:fldChar w:fldCharType="separate"/>
    </w:r>
    <w:r w:rsidR="001B48F6">
      <w:rPr>
        <w:rStyle w:val="a8"/>
        <w:rFonts w:ascii="宋体" w:eastAsia="宋体" w:hAnsi="宋体"/>
        <w:noProof/>
        <w:sz w:val="28"/>
      </w:rPr>
      <w:t>- 9 -</w:t>
    </w:r>
    <w:r>
      <w:rPr>
        <w:rStyle w:val="a8"/>
        <w:rFonts w:ascii="宋体" w:eastAsia="宋体" w:hAnsi="宋体"/>
        <w:sz w:val="28"/>
      </w:rPr>
      <w:fldChar w:fldCharType="end"/>
    </w:r>
    <w:r w:rsidR="00DB45E7">
      <w:rPr>
        <w:rStyle w:val="a8"/>
        <w:rFonts w:ascii="宋体" w:eastAsia="宋体" w:hAnsi="宋体" w:hint="eastAsia"/>
        <w:sz w:val="28"/>
      </w:rPr>
      <w:t xml:space="preserve"> </w:t>
    </w:r>
  </w:p>
  <w:p w:rsidR="00184AA3" w:rsidRDefault="00184AA3">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F3F" w:rsidRDefault="005F5F3F" w:rsidP="00184AA3">
      <w:r>
        <w:separator/>
      </w:r>
    </w:p>
  </w:footnote>
  <w:footnote w:type="continuationSeparator" w:id="0">
    <w:p w:rsidR="005F5F3F" w:rsidRDefault="005F5F3F" w:rsidP="00184A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cumentProtection w:edit="comments" w:enforcement="1" w:cryptProviderType="rsaFull" w:cryptAlgorithmClass="hash" w:cryptAlgorithmType="typeAny" w:cryptAlgorithmSid="4" w:cryptSpinCount="100000" w:hash="/q3970ol1SqH4spPoU/YygYIW8s=" w:salt="4nY6kdxbsuReyAvoFY4dAg=="/>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48F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42F9"/>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5F5F3F"/>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unhideWhenUsed="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AA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184AA3"/>
    <w:pPr>
      <w:jc w:val="left"/>
    </w:pPr>
  </w:style>
  <w:style w:type="paragraph" w:styleId="a4">
    <w:name w:val="Balloon Text"/>
    <w:basedOn w:val="a"/>
    <w:link w:val="Char0"/>
    <w:uiPriority w:val="99"/>
    <w:semiHidden/>
    <w:unhideWhenUsed/>
    <w:qFormat/>
    <w:rsid w:val="00184AA3"/>
    <w:rPr>
      <w:sz w:val="18"/>
      <w:szCs w:val="18"/>
    </w:rPr>
  </w:style>
  <w:style w:type="paragraph" w:styleId="a5">
    <w:name w:val="footer"/>
    <w:basedOn w:val="a"/>
    <w:link w:val="Char1"/>
    <w:qFormat/>
    <w:rsid w:val="00184AA3"/>
    <w:pPr>
      <w:tabs>
        <w:tab w:val="center" w:pos="4153"/>
        <w:tab w:val="right" w:pos="8306"/>
      </w:tabs>
      <w:snapToGrid w:val="0"/>
      <w:jc w:val="left"/>
    </w:pPr>
    <w:rPr>
      <w:rFonts w:eastAsia="黑体"/>
      <w:snapToGrid w:val="0"/>
      <w:kern w:val="0"/>
      <w:sz w:val="18"/>
      <w:szCs w:val="18"/>
    </w:rPr>
  </w:style>
  <w:style w:type="paragraph" w:styleId="a6">
    <w:name w:val="header"/>
    <w:basedOn w:val="a"/>
    <w:link w:val="Char2"/>
    <w:uiPriority w:val="99"/>
    <w:unhideWhenUsed/>
    <w:qFormat/>
    <w:rsid w:val="00184AA3"/>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sid w:val="00184AA3"/>
    <w:rPr>
      <w:b/>
      <w:bCs/>
    </w:rPr>
  </w:style>
  <w:style w:type="character" w:styleId="a8">
    <w:name w:val="page number"/>
    <w:basedOn w:val="a0"/>
    <w:qFormat/>
    <w:rsid w:val="00184AA3"/>
  </w:style>
  <w:style w:type="character" w:styleId="a9">
    <w:name w:val="annotation reference"/>
    <w:basedOn w:val="a0"/>
    <w:uiPriority w:val="99"/>
    <w:semiHidden/>
    <w:unhideWhenUsed/>
    <w:qFormat/>
    <w:rsid w:val="00184AA3"/>
    <w:rPr>
      <w:sz w:val="21"/>
      <w:szCs w:val="21"/>
    </w:rPr>
  </w:style>
  <w:style w:type="character" w:customStyle="1" w:styleId="Char1">
    <w:name w:val="页脚 Char"/>
    <w:basedOn w:val="a0"/>
    <w:link w:val="a5"/>
    <w:qFormat/>
    <w:rsid w:val="00184AA3"/>
    <w:rPr>
      <w:rFonts w:ascii="Times New Roman" w:eastAsia="黑体" w:hAnsi="Times New Roman" w:cs="Times New Roman"/>
      <w:snapToGrid w:val="0"/>
      <w:kern w:val="0"/>
      <w:sz w:val="18"/>
      <w:szCs w:val="18"/>
    </w:rPr>
  </w:style>
  <w:style w:type="character" w:customStyle="1" w:styleId="Char">
    <w:name w:val="批注文字 Char"/>
    <w:basedOn w:val="a0"/>
    <w:link w:val="a3"/>
    <w:uiPriority w:val="99"/>
    <w:semiHidden/>
    <w:qFormat/>
    <w:rsid w:val="00184AA3"/>
    <w:rPr>
      <w:rFonts w:ascii="Times New Roman" w:eastAsia="宋体" w:hAnsi="Times New Roman" w:cs="Times New Roman"/>
      <w:szCs w:val="24"/>
    </w:rPr>
  </w:style>
  <w:style w:type="character" w:customStyle="1" w:styleId="Char3">
    <w:name w:val="批注主题 Char"/>
    <w:basedOn w:val="Char"/>
    <w:link w:val="a7"/>
    <w:uiPriority w:val="99"/>
    <w:semiHidden/>
    <w:qFormat/>
    <w:rsid w:val="00184AA3"/>
    <w:rPr>
      <w:rFonts w:ascii="Times New Roman" w:eastAsia="宋体" w:hAnsi="Times New Roman" w:cs="Times New Roman"/>
      <w:b/>
      <w:bCs/>
      <w:szCs w:val="24"/>
    </w:rPr>
  </w:style>
  <w:style w:type="character" w:customStyle="1" w:styleId="Char0">
    <w:name w:val="批注框文本 Char"/>
    <w:basedOn w:val="a0"/>
    <w:link w:val="a4"/>
    <w:uiPriority w:val="99"/>
    <w:semiHidden/>
    <w:qFormat/>
    <w:rsid w:val="00184AA3"/>
    <w:rPr>
      <w:rFonts w:ascii="Times New Roman" w:eastAsia="宋体" w:hAnsi="Times New Roman" w:cs="Times New Roman"/>
      <w:sz w:val="18"/>
      <w:szCs w:val="18"/>
    </w:rPr>
  </w:style>
  <w:style w:type="character" w:customStyle="1" w:styleId="Char2">
    <w:name w:val="页眉 Char"/>
    <w:basedOn w:val="a0"/>
    <w:link w:val="a6"/>
    <w:uiPriority w:val="99"/>
    <w:qFormat/>
    <w:rsid w:val="00184AA3"/>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1844">
      <w:bodyDiv w:val="1"/>
      <w:marLeft w:val="0"/>
      <w:marRight w:val="0"/>
      <w:marTop w:val="0"/>
      <w:marBottom w:val="0"/>
      <w:divBdr>
        <w:top w:val="none" w:sz="0" w:space="0" w:color="auto"/>
        <w:left w:val="none" w:sz="0" w:space="0" w:color="auto"/>
        <w:bottom w:val="none" w:sz="0" w:space="0" w:color="auto"/>
        <w:right w:val="none" w:sz="0" w:space="0" w:color="auto"/>
      </w:divBdr>
    </w:div>
    <w:div w:id="1275748675">
      <w:bodyDiv w:val="1"/>
      <w:marLeft w:val="0"/>
      <w:marRight w:val="0"/>
      <w:marTop w:val="0"/>
      <w:marBottom w:val="0"/>
      <w:divBdr>
        <w:top w:val="none" w:sz="0" w:space="0" w:color="auto"/>
        <w:left w:val="none" w:sz="0" w:space="0" w:color="auto"/>
        <w:bottom w:val="none" w:sz="0" w:space="0" w:color="auto"/>
        <w:right w:val="none" w:sz="0" w:space="0" w:color="auto"/>
      </w:divBdr>
    </w:div>
    <w:div w:id="17847606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Pages>
  <Words>1160</Words>
  <Characters>6614</Characters>
  <Application>Microsoft Office Word</Application>
  <DocSecurity>8</DocSecurity>
  <Lines>55</Lines>
  <Paragraphs>15</Paragraphs>
  <ScaleCrop>false</ScaleCrop>
  <Company/>
  <LinksUpToDate>false</LinksUpToDate>
  <CharactersWithSpaces>7759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喀地财库-任雯</cp:lastModifiedBy>
  <cp:revision>817</cp:revision>
  <dcterms:created xsi:type="dcterms:W3CDTF">2019-05-30T09:42:00Z</dcterms:created>
  <dcterms:modified xsi:type="dcterms:W3CDTF">2020-04-03T12:45:00Z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