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2018年度新疆维吾尔自治区喀什地区司法局</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222010"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司法局主要职能：贯彻执行国家司法行政工作的方针，政策，研究拟定地区司法行政工作的政策及中长期规划并组织实施；参与制定全地区法治宣传教育、普法及依法治理的规划并组织实施，指导各县市，各行业的依法治理工作，承担地区依法治区领导小组办公室工作；管理监督指导地区的律师、法律顾问、法律援助工作；指导，监督和管理地区的公证机构和公证业务的活动；指导全地区</w:t>
      </w:r>
      <w:r>
        <w:rPr>
          <w:rFonts w:ascii="仿宋_GB2312" w:eastAsia="仿宋_GB2312" w:hint="eastAsia"/>
          <w:sz w:val="32"/>
          <w:szCs w:val="32"/>
        </w:rPr>
        <w:lastRenderedPageBreak/>
        <w:t xml:space="preserve">司法行政机关管理人民调解工作及司法助理员、基层司法所和基层法律服务工作，组织指导对刑满释放人员的安置帮教工作；指导和管理全地区的“12348”法律服务系统建设和基层司法调节中心建设；指导全地区司法行政系统党的建设，队伍建设和思想政治工作，指导全地区司法行政系统干部的培训工作；参与社会治安综合治理工作；指导管理地区司法行政系统的计划财务工作；组织全国司法考试；对社区矫正人员进行管理；押送危安犯人工作，和行署、地委交办的其他工作。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新疆维吾尔自治区喀什地区司法局</w:t>
      </w:r>
      <w:r>
        <w:rPr>
          <w:rFonts w:ascii="仿宋_GB2312" w:eastAsia="仿宋_GB2312" w:hint="eastAsia"/>
          <w:sz w:val="32"/>
          <w:szCs w:val="32"/>
        </w:rPr>
        <w:t>部门决算包括：</w:t>
      </w:r>
      <w:r>
        <w:rPr>
          <w:rFonts w:ascii="仿宋_GB2312" w:eastAsia="仿宋_GB2312"/>
          <w:sz w:val="32"/>
          <w:szCs w:val="32"/>
        </w:rPr>
        <w:t>新疆维吾尔自治区喀什地区司法局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新疆维吾尔自治区喀什地区司法局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FD68EE">
        <w:tc>
          <w:tcPr>
            <w:tcW w:w="3056" w:type="dxa"/>
          </w:tcPr>
          <w:p w:rsidR="00FD68EE" w:rsidRDefault="00A876EF">
            <w:pPr>
              <w:spacing w:line="500" w:lineRule="exact"/>
              <w:ind w:firstLineChars="200" w:firstLine="640"/>
              <w:jc w:val="left"/>
            </w:pPr>
            <w:r>
              <w:rPr>
                <w:rFonts w:ascii="仿宋_GB2312" w:eastAsia="仿宋_GB2312"/>
                <w:position w:val="-1"/>
                <w:sz w:val="32"/>
              </w:rPr>
              <w:t>1</w:t>
            </w:r>
          </w:p>
        </w:tc>
        <w:tc>
          <w:tcPr>
            <w:tcW w:w="3870" w:type="dxa"/>
          </w:tcPr>
          <w:p w:rsidR="00FD68EE" w:rsidRDefault="00A876EF">
            <w:pPr>
              <w:spacing w:line="500" w:lineRule="exact"/>
              <w:ind w:firstLineChars="200" w:firstLine="640"/>
              <w:jc w:val="left"/>
            </w:pPr>
            <w:r>
              <w:rPr>
                <w:rFonts w:ascii="仿宋_GB2312" w:eastAsia="仿宋_GB2312"/>
                <w:position w:val="-1"/>
                <w:sz w:val="32"/>
              </w:rPr>
              <w:t>新疆维吾尔自治区喀什地区司法局</w:t>
            </w:r>
          </w:p>
        </w:tc>
        <w:tc>
          <w:tcPr>
            <w:tcW w:w="2538" w:type="dxa"/>
            <w:vAlign w:val="center"/>
          </w:tcPr>
          <w:p w:rsidR="00FD68EE" w:rsidRDefault="00FD68EE" w:rsidP="00A75D9B">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lastRenderedPageBreak/>
        <w:t>2018年度收入</w:t>
      </w:r>
      <w:r>
        <w:rPr>
          <w:rFonts w:ascii="仿宋_GB2312" w:eastAsia="仿宋_GB2312" w:hint="eastAsia"/>
          <w:sz w:val="32"/>
          <w:szCs w:val="32"/>
        </w:rPr>
        <w:t>2,132.52</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，与上年相比，增加509.07万元，增长31.36%，增加的主要原因是：</w:t>
      </w:r>
      <w:r>
        <w:rPr>
          <w:rFonts w:ascii="仿宋_GB2312" w:eastAsia="仿宋_GB2312" w:hint="eastAsia"/>
          <w:color w:val="000000" w:themeColor="text1"/>
          <w:sz w:val="32"/>
          <w:szCs w:val="32"/>
        </w:rPr>
        <w:t>财政增加拨付必接必送经费514万元；</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2,027.51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，与上年相比，减少201.13万元，下降9.02%，减少的主要原因是：</w:t>
      </w:r>
      <w:r>
        <w:rPr>
          <w:rFonts w:ascii="仿宋_GB2312" w:eastAsia="仿宋_GB2312" w:hint="eastAsia"/>
          <w:color w:val="000000" w:themeColor="text1"/>
          <w:sz w:val="32"/>
          <w:szCs w:val="32"/>
        </w:rPr>
        <w:t>财政增加拨付必接必送经费514万元，由于业务用房工程搁置，许多经费无法正常支出；</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422.99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，与上年相比，增加42.21万元，增长11.09%，增加的主要原因是：</w:t>
      </w:r>
      <w:r>
        <w:rPr>
          <w:rFonts w:ascii="仿宋_GB2312" w:eastAsia="仿宋_GB2312"/>
          <w:color w:val="000000" w:themeColor="text1"/>
          <w:sz w:val="32"/>
          <w:szCs w:val="32"/>
        </w:rPr>
        <w:t>财政增加拨付必接必送经费514万元，结余相应增加。</w:t>
      </w:r>
      <w:bookmarkEnd w:id="8"/>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2,132.52</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2,132.52</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况：本年收入年初预算数1,584.2万元</w:t>
      </w:r>
      <w:r>
        <w:rPr>
          <w:rFonts w:ascii="仿宋_GB2312" w:eastAsia="仿宋_GB2312" w:hint="eastAsia"/>
          <w:sz w:val="32"/>
          <w:szCs w:val="32"/>
        </w:rPr>
        <w:t>，决算数2,132.52万元</w:t>
      </w:r>
      <w:r>
        <w:rPr>
          <w:rFonts w:ascii="仿宋_GB2312" w:eastAsia="仿宋_GB2312"/>
          <w:sz w:val="32"/>
          <w:szCs w:val="32"/>
        </w:rPr>
        <w:t>，预决算差异率34.61%，差异主要原因是:财政增加拨付必接必送经费514万元。</w:t>
      </w:r>
      <w:bookmarkEnd w:id="15"/>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2,027.51</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1,367.02</w:t>
      </w:r>
      <w:r>
        <w:rPr>
          <w:rFonts w:ascii="仿宋_GB2312" w:eastAsia="仿宋_GB2312" w:hint="eastAsia"/>
          <w:color w:val="000000" w:themeColor="text1"/>
          <w:sz w:val="32"/>
          <w:szCs w:val="32"/>
        </w:rPr>
        <w:t>万元，占</w:t>
      </w:r>
      <w:r>
        <w:rPr>
          <w:rFonts w:ascii="仿宋_GB2312" w:eastAsia="仿宋_GB2312" w:hint="eastAsia"/>
          <w:sz w:val="32"/>
          <w:szCs w:val="32"/>
        </w:rPr>
        <w:t>67.42%</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660.49</w:t>
      </w:r>
      <w:r>
        <w:rPr>
          <w:rFonts w:ascii="仿宋_GB2312" w:eastAsia="仿宋_GB2312" w:hint="eastAsia"/>
          <w:color w:val="000000" w:themeColor="text1"/>
          <w:sz w:val="32"/>
          <w:szCs w:val="32"/>
        </w:rPr>
        <w:t>万元，占</w:t>
      </w:r>
      <w:r>
        <w:rPr>
          <w:rFonts w:ascii="仿宋_GB2312" w:eastAsia="仿宋_GB2312" w:hint="eastAsia"/>
          <w:sz w:val="32"/>
          <w:szCs w:val="32"/>
        </w:rPr>
        <w:t>32.58%</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与年初预算数相比情况：本年支出年初预算数1,964.98万元，</w:t>
      </w:r>
      <w:r>
        <w:rPr>
          <w:rFonts w:ascii="仿宋_GB2312" w:eastAsia="仿宋_GB2312" w:hint="eastAsia"/>
          <w:sz w:val="32"/>
          <w:szCs w:val="32"/>
        </w:rPr>
        <w:t>决算数2,027.51万元</w:t>
      </w:r>
      <w:r>
        <w:rPr>
          <w:rFonts w:ascii="仿宋_GB2312" w:eastAsia="仿宋_GB2312"/>
          <w:sz w:val="32"/>
          <w:szCs w:val="32"/>
        </w:rPr>
        <w:t>，预决算差异率3.18%，差异主要原因是:财政增加拨付必接必送经费514万元。</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2,132.52</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，与上年相比，增加593.27万元，增长38.54%，增加的主要原因是：财政增加拨付必接必送经费514万元。</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2,027.51</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，与上年相比，减少116.93万元，下降5.45%，减少的主要原因是：</w:t>
      </w:r>
      <w:r w:rsidRPr="00A75D9B">
        <w:rPr>
          <w:rFonts w:ascii="仿宋_GB2312" w:eastAsia="仿宋_GB2312"/>
          <w:sz w:val="32"/>
          <w:szCs w:val="32"/>
        </w:rPr>
        <w:t>由于业务用房工程搁置，许多经费无法正常支出。</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1,367.02</w:t>
      </w:r>
      <w:r>
        <w:rPr>
          <w:rFonts w:ascii="仿宋_GB2312" w:eastAsia="仿宋_GB2312" w:hint="eastAsia"/>
          <w:color w:val="000000" w:themeColor="text1"/>
          <w:sz w:val="32"/>
          <w:szCs w:val="32"/>
        </w:rPr>
        <w:t>万元，项目支出</w:t>
      </w:r>
      <w:r>
        <w:rPr>
          <w:rFonts w:ascii="仿宋_GB2312" w:eastAsia="仿宋_GB2312" w:hint="eastAsia"/>
          <w:sz w:val="32"/>
          <w:szCs w:val="32"/>
        </w:rPr>
        <w:t>660.49</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422.99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，与上年相比，增加42.21万元，增长11.09%，增加的主要原因是：财政增加拨付必接必送经费514万元。</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1,584.2</w:t>
      </w:r>
      <w:r>
        <w:rPr>
          <w:rFonts w:ascii="仿宋_GB2312" w:eastAsia="仿宋_GB2312" w:hint="eastAsia"/>
          <w:color w:val="000000" w:themeColor="text1"/>
          <w:sz w:val="32"/>
          <w:szCs w:val="32"/>
        </w:rPr>
        <w:t>万元，决算数</w:t>
      </w:r>
      <w:r>
        <w:rPr>
          <w:rFonts w:ascii="仿宋_GB2312" w:eastAsia="仿宋_GB2312" w:hint="eastAsia"/>
          <w:sz w:val="32"/>
          <w:szCs w:val="32"/>
        </w:rPr>
        <w:t>2,132.52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，预决算差异率34.61%，差异主要原因是:财政增加拨付必接必送经费514万元。</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1,964.98</w:t>
      </w:r>
      <w:r>
        <w:rPr>
          <w:rFonts w:ascii="仿宋_GB2312" w:eastAsia="仿宋_GB2312" w:hint="eastAsia"/>
          <w:color w:val="000000" w:themeColor="text1"/>
          <w:sz w:val="32"/>
          <w:szCs w:val="32"/>
        </w:rPr>
        <w:t>万元，决算数</w:t>
      </w:r>
      <w:r>
        <w:rPr>
          <w:rFonts w:ascii="仿宋_GB2312" w:eastAsia="仿宋_GB2312" w:hint="eastAsia"/>
          <w:sz w:val="32"/>
          <w:szCs w:val="32"/>
        </w:rPr>
        <w:t>2,027.51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，预决算差异率3.18%，差异主要原因是:财政增加拨付必接必送经费514万元。</w:t>
      </w:r>
      <w:bookmarkEnd w:id="3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2,132.52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，与上年相比，增加593.27万元，增长38.54%，增加的主要原因是：财政增加拨付必接必送经费514万元。</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2,027.51</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，与上年相比，减少116.93万元，下降5.45%，减少的主要原因是：由于业务用房工程搁置，许多经费无法正常支出。</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住房保障支出79.44万元,公共安全支出1,769.46万元,教育支出18.72万元,其他支出</w:t>
      </w:r>
      <w:r>
        <w:rPr>
          <w:rFonts w:ascii="仿宋_GB2312" w:eastAsia="仿宋_GB2312" w:hint="eastAsia"/>
          <w:sz w:val="32"/>
          <w:szCs w:val="32"/>
        </w:rPr>
        <w:lastRenderedPageBreak/>
        <w:t>39.13万元,社会保障和就业支出120.76万元。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工资福利支出1,095.51万元,商品和服务支出694.3万元,对个人和家庭的补助215.72万元,资本性支出21.98万元。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1,584.2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2,132.52</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，预决算差异率34.61%，差异主要原因是:财政增加拨付必接必送经费514万元。</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1,964.98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2,027.51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，预决算差异率3.18%，差异主要原因是:财政增加拨付必接必送经费514万元。</w:t>
      </w:r>
      <w:bookmarkEnd w:id="43"/>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，与上年相比，增加0万元，增长0%，主要原因是：无政府性基金预算财政拨款收入。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，与上年相比，增加0万元，增长0%，主要原因是：无政府性基金预算支出。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无政府性基金预算财政拨款收入。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422.99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。与上年相比，增加42.21万元，增</w:t>
      </w:r>
      <w:r>
        <w:rPr>
          <w:rFonts w:ascii="仿宋_GB2312" w:eastAsia="仿宋_GB2312" w:hint="eastAsia"/>
          <w:sz w:val="32"/>
          <w:szCs w:val="32"/>
        </w:rPr>
        <w:lastRenderedPageBreak/>
        <w:t>长11</w:t>
      </w:r>
      <w:r w:rsidR="00222010">
        <w:rPr>
          <w:rFonts w:ascii="仿宋_GB2312" w:eastAsia="仿宋_GB2312" w:hint="eastAsia"/>
          <w:sz w:val="32"/>
          <w:szCs w:val="32"/>
        </w:rPr>
        <w:t>.09</w:t>
      </w:r>
      <w:r>
        <w:rPr>
          <w:rFonts w:ascii="仿宋_GB2312" w:eastAsia="仿宋_GB2312" w:hint="eastAsia"/>
          <w:sz w:val="32"/>
          <w:szCs w:val="32"/>
        </w:rPr>
        <w:t>%</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422.99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。与上年相比，增加42.21万元，增长11</w:t>
      </w:r>
      <w:r w:rsidR="00222010">
        <w:rPr>
          <w:rFonts w:ascii="仿宋_GB2312" w:eastAsia="仿宋_GB2312" w:hint="eastAsia"/>
          <w:sz w:val="32"/>
          <w:szCs w:val="32"/>
        </w:rPr>
        <w:t>.0</w:t>
      </w:r>
      <w:r>
        <w:rPr>
          <w:rFonts w:ascii="仿宋_GB2312" w:eastAsia="仿宋_GB2312" w:hint="eastAsia"/>
          <w:sz w:val="32"/>
          <w:szCs w:val="32"/>
        </w:rPr>
        <w:t>9%。</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29.9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，与上年相比，增加2.3万元，增长8.33%，增加的主要原因是：增加一辆囚车。</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29.9</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100%，与上年相比，增加2.3万元，增长8.33%，增加的主要原因是：</w:t>
      </w:r>
      <w:r w:rsidR="0054006F">
        <w:rPr>
          <w:rFonts w:ascii="仿宋_GB2312" w:eastAsia="仿宋_GB2312" w:hint="eastAsia"/>
          <w:sz w:val="32"/>
          <w:szCs w:val="32"/>
        </w:rPr>
        <w:t>增加一辆囚车；</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w:t>
      </w:r>
      <w:r w:rsidR="00222010">
        <w:rPr>
          <w:rFonts w:ascii="仿宋_GB2312" w:eastAsia="仿宋_GB2312" w:hint="eastAsia"/>
          <w:sz w:val="32"/>
          <w:szCs w:val="32"/>
        </w:rPr>
        <w:t>，主要原因是：无公务接待</w:t>
      </w:r>
      <w:r>
        <w:rPr>
          <w:rFonts w:ascii="仿宋_GB2312" w:eastAsia="仿宋_GB2312" w:hint="eastAsia"/>
          <w:sz w:val="32"/>
          <w:szCs w:val="32"/>
        </w:rPr>
        <w:t>。</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新疆维吾尔自治区喀什地区司法局</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29.9</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29.9</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公务用车运行费主要车辆维护费、车辆燃油、过路、保险等</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13</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新疆维吾尔自治区喀什地区司法局</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w:t>
      </w:r>
      <w:r>
        <w:rPr>
          <w:rFonts w:ascii="仿宋_GB2312" w:eastAsia="仿宋_GB2312" w:hint="eastAsia"/>
          <w:color w:val="000000" w:themeColor="text1"/>
          <w:sz w:val="32"/>
          <w:szCs w:val="32"/>
        </w:rPr>
        <w:lastRenderedPageBreak/>
        <w:t>算数</w:t>
      </w:r>
      <w:r>
        <w:rPr>
          <w:rFonts w:ascii="仿宋_GB2312" w:eastAsia="仿宋_GB2312"/>
          <w:color w:val="000000" w:themeColor="text1"/>
          <w:sz w:val="32"/>
          <w:szCs w:val="32"/>
        </w:rPr>
        <w:t>29.9</w:t>
      </w:r>
      <w:r>
        <w:rPr>
          <w:rFonts w:ascii="仿宋_GB2312" w:eastAsia="仿宋_GB2312" w:hint="eastAsia"/>
          <w:color w:val="000000" w:themeColor="text1"/>
          <w:sz w:val="32"/>
          <w:szCs w:val="32"/>
        </w:rPr>
        <w:t>万元，决算数29.9万元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w:t>
      </w:r>
      <w:bookmarkStart w:id="85" w:name="_GoBack"/>
      <w:bookmarkEnd w:id="85"/>
      <w:r>
        <w:rPr>
          <w:rFonts w:ascii="仿宋_GB2312" w:eastAsia="仿宋_GB2312"/>
          <w:color w:val="000000" w:themeColor="text1"/>
          <w:sz w:val="32"/>
          <w:szCs w:val="32"/>
        </w:rPr>
        <w:t>差异率0%，差异主要原因是:</w:t>
      </w:r>
      <w:r w:rsidR="00222010">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6"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29.9</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29.9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222010">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2018年度新疆维吾尔自治区喀什地区司法局机关运行经费支出68.1万元，与上年相比，减少25.96万元，下降27.6%，减少的主要原因是：</w:t>
      </w:r>
      <w:r w:rsidR="00FE48DB">
        <w:rPr>
          <w:rFonts w:ascii="仿宋_GB2312" w:eastAsia="仿宋_GB2312" w:hint="eastAsia"/>
          <w:color w:val="000000" w:themeColor="text1"/>
          <w:sz w:val="32"/>
          <w:szCs w:val="32"/>
        </w:rPr>
        <w:t>厉行节约、控制支出。</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23.45</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17.56</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5.89</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13</w:t>
      </w:r>
      <w:r>
        <w:rPr>
          <w:rFonts w:ascii="仿宋_GB2312" w:eastAsia="仿宋_GB2312" w:hint="eastAsia"/>
          <w:color w:val="000000" w:themeColor="text1"/>
          <w:sz w:val="32"/>
          <w:szCs w:val="32"/>
        </w:rPr>
        <w:t>辆，价值</w:t>
      </w:r>
      <w:r>
        <w:rPr>
          <w:rFonts w:ascii="仿宋_GB2312" w:eastAsia="仿宋_GB2312" w:hint="eastAsia"/>
          <w:sz w:val="32"/>
          <w:szCs w:val="32"/>
        </w:rPr>
        <w:t>325.47</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10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3</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w:t>
      </w:r>
      <w:r>
        <w:rPr>
          <w:rFonts w:ascii="仿宋_GB2312" w:eastAsia="仿宋_GB2312" w:hint="eastAsia"/>
          <w:color w:val="000000" w:themeColor="text1"/>
          <w:sz w:val="32"/>
          <w:szCs w:val="32"/>
        </w:rPr>
        <w:lastRenderedPageBreak/>
        <w:t>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较好。</w:t>
      </w:r>
    </w:p>
    <w:p w:rsidR="00FD68EE" w:rsidRDefault="00A876EF">
      <w:pPr>
        <w:spacing w:line="540" w:lineRule="exact"/>
        <w:ind w:left="-1" w:right="-1" w:firstLine="646"/>
        <w:jc w:val="left"/>
      </w:pPr>
      <w:r>
        <w:rPr>
          <w:rFonts w:ascii="仿宋_GB2312" w:eastAsia="仿宋_GB2312" w:hAnsi="仿宋_GB2312" w:cs="仿宋_GB2312"/>
          <w:sz w:val="32"/>
        </w:rPr>
        <w:t>1、组织全国法律服务职业考试项目绩效自评综述：根据年初设定的绩效目标，该项目绩效自评得分为88分。项目全年预算数为15.5万元，执行数为15.5万元，完成预算的100%。主要产出和效果：指导全地区司法行政机关基层人民调解工作、法制宣传工作和组织全区考生参加国家法律职业资格考试等工作的顺利完成。发现的问题及原因：无存在问题。下一步改进措施：组织全国法律服务职业考试项目属于长期性项目，在今后的工作中继续深入开展人民调解、普法宣传、国家法律职业资格考试等各项工作，确保基层安全，加大普法宣传力度，提高全民法律素质。</w:t>
      </w:r>
    </w:p>
    <w:p w:rsidR="00FD68EE" w:rsidRDefault="00A876EF">
      <w:pPr>
        <w:spacing w:line="540" w:lineRule="exact"/>
        <w:ind w:left="-1" w:right="-1" w:firstLine="646"/>
        <w:jc w:val="left"/>
      </w:pPr>
      <w:r>
        <w:rPr>
          <w:rFonts w:ascii="仿宋_GB2312" w:eastAsia="仿宋_GB2312" w:hAnsi="仿宋_GB2312" w:cs="仿宋_GB2312"/>
          <w:sz w:val="32"/>
        </w:rPr>
        <w:t>2、公证业务经费项目绩效自评综述：根据年初设定的绩效目标，该项目绩效自评得分为88分。项目全年预算数为6万元，执行数为6万元，完成预算的100%。主要产出和效果：该项目属于2018年度地区财政拨付公证业务经费资金，根据《中华人民共和国公证法》为依据，认真履行公证员职责，合理合法合规办理公证各项案件，为当事人提供优质高效的法律服务。发现的问题及原因：无存在问题。下一步改进措施：根据《中华人民共和国公证法》为依据，认真履行公证员职责，合理合法合规办理公证各项案件，为当事人提供优质高效的法律服务。</w:t>
      </w:r>
    </w:p>
    <w:p w:rsidR="00FD68EE" w:rsidRDefault="00A876EF">
      <w:pPr>
        <w:spacing w:line="540" w:lineRule="exact"/>
        <w:ind w:left="-1" w:right="-1" w:firstLine="646"/>
        <w:jc w:val="left"/>
      </w:pPr>
      <w:r>
        <w:rPr>
          <w:rFonts w:ascii="仿宋_GB2312" w:eastAsia="仿宋_GB2312" w:hAnsi="仿宋_GB2312" w:cs="仿宋_GB2312"/>
          <w:sz w:val="32"/>
        </w:rPr>
        <w:t>3、工作经费项目绩效自评综述：根据年初设定的绩效目标，该项目绩效自评得分为83.2分。项目全年预算数为57.12万元，执行</w:t>
      </w:r>
      <w:r>
        <w:rPr>
          <w:rFonts w:ascii="仿宋_GB2312" w:eastAsia="仿宋_GB2312" w:hAnsi="仿宋_GB2312" w:cs="仿宋_GB2312"/>
          <w:sz w:val="32"/>
        </w:rPr>
        <w:lastRenderedPageBreak/>
        <w:t>数为39.13万元，完成预算的68.5%。主要产出和效果：本项目属于工作专项经费项目,计划用经费为英吉沙县乔勒潘乡三个村的贫困群众购买砖、水泥、过冬煤炭、米面油、生活日用品，使贫困户早日脱贫致富。发现的问题及原因：无存在问题。下一步改进措施：工作专项经费项目属于长期性项目，继续合理利用资金改善，加快脱贫力度，切实为基层群众办实事、办好事。</w:t>
      </w:r>
    </w:p>
    <w:p w:rsidR="00FD68EE" w:rsidRDefault="00A876EF">
      <w:pPr>
        <w:spacing w:line="540" w:lineRule="exact"/>
        <w:ind w:left="-1" w:right="-1" w:firstLine="646"/>
        <w:jc w:val="left"/>
      </w:pPr>
      <w:r>
        <w:rPr>
          <w:rFonts w:ascii="仿宋_GB2312" w:eastAsia="仿宋_GB2312" w:hAnsi="仿宋_GB2312" w:cs="仿宋_GB2312"/>
          <w:sz w:val="32"/>
        </w:rPr>
        <w:t>4、法律援助（办案）经费专项结余项目绩效自评综述：根据年初设定的绩效目标，该项目绩效自评得分为77.1分。项目全年预算数为52.85万元，执行数为0.76万元，完成预算的1.44%。主要产出和效果：该项目属于2018年度法律援助（办案）经费专项项目资金，总合计为52.85万元，计划主要发放2018年法律援助办案补贴,预计发放法律援助办案补贴1057件,通过实施该项目使接受法律援助弱势群体在人身权利和财产安全得到了有效保障，不断提升化解矛盾能力，促进社会和谐。发现的问题及原因：无存在问题。下一步改进措施：法律援助（办案）经费专项结余项目属于长期性项目，在2019年继续指派办理案件的律师、基层法律服务工作者和接受安排办理案件的社会组织人员、法律援助志愿者的办案补贴，更好的为需要接受法律援助的弱势群体提供优质高效的法律援助。</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204（类）06（款）07（项）指：法律援助。221（类）02（款）01（项）指：住房公积金。204（类）06（款）08（项）指：司法统一考试。205（类）02（款）01（项）指：学前教育。204（类）06（款）02（项）指：一般行政管理事务。229（类）99（款）01（项）指：其他支出。204（类）06（款）01</w:t>
      </w:r>
      <w:r>
        <w:rPr>
          <w:rFonts w:ascii="仿宋_GB2312" w:eastAsia="仿宋_GB2312" w:hint="eastAsia"/>
          <w:sz w:val="32"/>
          <w:szCs w:val="32"/>
        </w:rPr>
        <w:lastRenderedPageBreak/>
        <w:t>（项）指：行政运行。208（类）05（款）06（项）指：机关事业单位职业年金缴费支出。204（类）06（款）99（项）指：其他司法支出。208（类）05（款）05（项）指：机关事业单位基本养老保险缴费支出。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A75D9B">
      <w:pPr>
        <w:spacing w:line="540" w:lineRule="exact"/>
        <w:ind w:firstLineChars="200" w:firstLine="648"/>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97B" w:rsidRDefault="0025097B" w:rsidP="00184AA3">
      <w:r>
        <w:separator/>
      </w:r>
    </w:p>
  </w:endnote>
  <w:endnote w:type="continuationSeparator" w:id="1">
    <w:p w:rsidR="0025097B" w:rsidRDefault="0025097B"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Arial Unicode MS"/>
    <w:panose1 w:val="02010609060101010101"/>
    <w:charset w:val="86"/>
    <w:family w:val="modern"/>
    <w:notTrueType/>
    <w:pitch w:val="fixed"/>
    <w:sig w:usb0="00000000"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SimSun-ExtB"/>
    <w:charset w:val="86"/>
    <w:family w:val="modern"/>
    <w:pitch w:val="default"/>
    <w:sig w:usb0="00000000" w:usb1="00000000" w:usb2="00000010" w:usb3="00000000" w:csb0="00040000" w:csb1="00000000"/>
  </w:font>
  <w:font w:name="楷体_GB2312">
    <w:altName w:val="Arial Unicode MS"/>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291265">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291265">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A75D9B">
      <w:rPr>
        <w:rStyle w:val="a8"/>
        <w:rFonts w:ascii="宋体" w:eastAsia="宋体" w:hAnsi="宋体"/>
        <w:noProof/>
        <w:sz w:val="28"/>
      </w:rPr>
      <w:t>- 5 -</w:t>
    </w:r>
    <w:r>
      <w:rPr>
        <w:rStyle w:val="a8"/>
        <w:rFonts w:ascii="宋体" w:eastAsia="宋体" w:hAnsi="宋体"/>
        <w:sz w:val="28"/>
      </w:rPr>
      <w:fldChar w:fldCharType="end"/>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97B" w:rsidRDefault="0025097B" w:rsidP="00184AA3">
      <w:r>
        <w:separator/>
      </w:r>
    </w:p>
  </w:footnote>
  <w:footnote w:type="continuationSeparator" w:id="1">
    <w:p w:rsidR="0025097B" w:rsidRDefault="0025097B"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0"/>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2010"/>
    <w:rsid w:val="00226DF0"/>
    <w:rsid w:val="00231C2E"/>
    <w:rsid w:val="00241293"/>
    <w:rsid w:val="00245135"/>
    <w:rsid w:val="002453A6"/>
    <w:rsid w:val="00247520"/>
    <w:rsid w:val="0025097B"/>
    <w:rsid w:val="00251FC8"/>
    <w:rsid w:val="00256471"/>
    <w:rsid w:val="00257943"/>
    <w:rsid w:val="002608FE"/>
    <w:rsid w:val="00271D59"/>
    <w:rsid w:val="0027418F"/>
    <w:rsid w:val="00282470"/>
    <w:rsid w:val="00291265"/>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75D9B"/>
    <w:rsid w:val="00A86966"/>
    <w:rsid w:val="00A872D8"/>
    <w:rsid w:val="00A876EF"/>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D68EE"/>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EA40A0-C10B-425B-BF0E-53349A98F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14</Pages>
  <Words>1023</Words>
  <Characters>5833</Characters>
  <Application>Microsoft Office Word</Application>
  <DocSecurity>0</DocSecurity>
  <Lines>48</Lines>
  <Paragraphs>13</Paragraphs>
  <ScaleCrop>false</ScaleCrop>
  <Company/>
  <LinksUpToDate>false</LinksUpToDate>
  <CharactersWithSpaces>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818</cp:revision>
  <dcterms:created xsi:type="dcterms:W3CDTF">2019-05-30T09:42:00Z</dcterms:created>
  <dcterms:modified xsi:type="dcterms:W3CDTF">2021-06-04T09:29:00Z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