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  <w:r>
        <w:rPr>
          <w:rFonts w:hint="eastAsia" w:ascii="华文中宋" w:hAnsi="华文中宋" w:eastAsia="华文中宋" w:cs="宋体"/>
          <w:b/>
          <w:kern w:val="0"/>
          <w:sz w:val="52"/>
          <w:szCs w:val="52"/>
        </w:rPr>
        <w:t>新疆财政支出绩效自评报告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（</w:t>
      </w:r>
      <w:r>
        <w:rPr>
          <w:rFonts w:hAnsi="宋体" w:eastAsia="仿宋_GB2312" w:cs="宋体"/>
          <w:kern w:val="0"/>
          <w:sz w:val="36"/>
          <w:szCs w:val="36"/>
        </w:rPr>
        <w:t xml:space="preserve"> </w:t>
      </w:r>
      <w:r>
        <w:rPr>
          <w:rFonts w:ascii="仿宋" w:hAnsi="仿宋" w:eastAsia="仿宋" w:cs="仿宋"/>
          <w:kern w:val="0"/>
          <w:sz w:val="36"/>
          <w:szCs w:val="36"/>
        </w:rPr>
        <w:t>2018</w:t>
      </w:r>
      <w:r>
        <w:rPr>
          <w:rFonts w:hint="eastAsia" w:hAnsi="宋体" w:eastAsia="仿宋_GB2312" w:cs="宋体"/>
          <w:kern w:val="0"/>
          <w:sz w:val="36"/>
          <w:szCs w:val="36"/>
        </w:rPr>
        <w:t>年度）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700" w:lineRule="exact"/>
        <w:ind w:left="31680" w:hanging="5040" w:hangingChars="1400"/>
        <w:jc w:val="left"/>
        <w:rPr>
          <w:rFonts w:hAnsi="宋体" w:eastAsia="仿宋_GB2312" w:cs="宋体"/>
          <w:kern w:val="0"/>
          <w:sz w:val="32"/>
          <w:szCs w:val="32"/>
        </w:rPr>
      </w:pPr>
      <w:r>
        <w:rPr>
          <w:rFonts w:hAnsi="宋体" w:eastAsia="仿宋_GB2312" w:cs="宋体"/>
          <w:kern w:val="0"/>
          <w:sz w:val="36"/>
          <w:szCs w:val="36"/>
        </w:rPr>
        <w:t xml:space="preserve">     </w:t>
      </w:r>
      <w:r>
        <w:rPr>
          <w:rFonts w:hint="eastAsia" w:hAnsi="宋体" w:eastAsia="仿宋_GB2312" w:cs="宋体"/>
          <w:kern w:val="0"/>
          <w:sz w:val="36"/>
          <w:szCs w:val="36"/>
        </w:rPr>
        <w:t>项目名称：</w:t>
      </w:r>
      <w:r>
        <w:rPr>
          <w:rFonts w:hint="eastAsia" w:hAnsi="宋体" w:eastAsia="仿宋_GB2312" w:cs="宋体"/>
          <w:kern w:val="0"/>
          <w:sz w:val="32"/>
          <w:szCs w:val="32"/>
        </w:rPr>
        <w:t>公证业务经费项目</w:t>
      </w:r>
    </w:p>
    <w:p>
      <w:pPr>
        <w:spacing w:line="700" w:lineRule="exact"/>
        <w:ind w:left="5038" w:leftChars="342" w:hanging="4320" w:hangingChars="1200"/>
        <w:jc w:val="left"/>
        <w:rPr>
          <w:rFonts w:hAnsi="宋体" w:eastAsia="仿宋_GB2312" w:cs="宋体"/>
          <w:kern w:val="0"/>
          <w:sz w:val="28"/>
          <w:szCs w:val="28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实施单位（公章）：</w:t>
      </w:r>
      <w:r>
        <w:rPr>
          <w:rFonts w:hint="eastAsia" w:hAnsi="宋体" w:eastAsia="仿宋_GB2312" w:cs="宋体"/>
          <w:kern w:val="0"/>
          <w:sz w:val="28"/>
          <w:szCs w:val="28"/>
        </w:rPr>
        <w:t>新疆维吾尔自治区喀什地区司法局</w:t>
      </w:r>
    </w:p>
    <w:p>
      <w:pPr>
        <w:spacing w:line="700" w:lineRule="exact"/>
        <w:ind w:firstLine="849" w:firstLineChars="236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自治区主管部门（公章）：</w:t>
      </w:r>
    </w:p>
    <w:p>
      <w:pPr>
        <w:spacing w:line="700" w:lineRule="exact"/>
        <w:ind w:firstLine="849" w:firstLineChars="236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项目负责人（签章）：李晓茹</w:t>
      </w:r>
    </w:p>
    <w:p>
      <w:pPr>
        <w:spacing w:line="700" w:lineRule="exact"/>
        <w:ind w:firstLine="849" w:firstLineChars="236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填报时间：</w:t>
      </w:r>
      <w:r>
        <w:rPr>
          <w:rFonts w:hAnsi="宋体" w:eastAsia="仿宋_GB2312" w:cs="宋体"/>
          <w:kern w:val="0"/>
          <w:sz w:val="36"/>
          <w:szCs w:val="36"/>
        </w:rPr>
        <w:t>2019</w:t>
      </w:r>
      <w:r>
        <w:rPr>
          <w:rFonts w:hint="eastAsia" w:hAnsi="宋体" w:eastAsia="仿宋_GB2312" w:cs="宋体"/>
          <w:kern w:val="0"/>
          <w:sz w:val="36"/>
          <w:szCs w:val="36"/>
        </w:rPr>
        <w:t>年</w:t>
      </w:r>
      <w:r>
        <w:rPr>
          <w:rFonts w:hAnsi="宋体" w:eastAsia="仿宋_GB2312" w:cs="宋体"/>
          <w:kern w:val="0"/>
          <w:sz w:val="36"/>
          <w:szCs w:val="36"/>
        </w:rPr>
        <w:t>1</w:t>
      </w:r>
      <w:r>
        <w:rPr>
          <w:rFonts w:hint="eastAsia" w:hAnsi="宋体" w:eastAsia="仿宋_GB2312" w:cs="宋体"/>
          <w:kern w:val="0"/>
          <w:sz w:val="36"/>
          <w:szCs w:val="36"/>
        </w:rPr>
        <w:t>月</w:t>
      </w:r>
      <w:r>
        <w:rPr>
          <w:rFonts w:hAnsi="宋体" w:eastAsia="仿宋_GB2312" w:cs="宋体"/>
          <w:kern w:val="0"/>
          <w:sz w:val="36"/>
          <w:szCs w:val="36"/>
        </w:rPr>
        <w:t>15</w:t>
      </w:r>
      <w:r>
        <w:rPr>
          <w:rFonts w:hint="eastAsia" w:hAnsi="宋体" w:eastAsia="仿宋_GB2312" w:cs="宋体"/>
          <w:kern w:val="0"/>
          <w:sz w:val="36"/>
          <w:szCs w:val="36"/>
        </w:rPr>
        <w:t>日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一、项目概况</w:t>
      </w:r>
    </w:p>
    <w:p>
      <w:pPr>
        <w:adjustRightInd w:val="0"/>
        <w:snapToGrid w:val="0"/>
        <w:spacing w:line="560" w:lineRule="exact"/>
        <w:ind w:firstLine="627" w:firstLineChars="200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（一）项目单位基本情况</w:t>
      </w:r>
    </w:p>
    <w:p>
      <w:pPr>
        <w:spacing w:line="540" w:lineRule="exact"/>
        <w:ind w:firstLine="640"/>
        <w:rPr>
          <w:rStyle w:val="19"/>
          <w:rFonts w:ascii="仿宋_GB2312" w:eastAsia="仿宋_GB2312" w:cs="仿宋_GB2312"/>
          <w:b w:val="0"/>
          <w:bCs w:val="0"/>
          <w:color w:val="333333"/>
          <w:sz w:val="32"/>
          <w:szCs w:val="32"/>
        </w:rPr>
      </w:pPr>
      <w:r>
        <w:rPr>
          <w:rFonts w:hint="eastAsia" w:ascii="仿宋_GB2312" w:eastAsia="仿宋_GB2312" w:cs="仿宋_GB2312"/>
          <w:color w:val="333333"/>
          <w:sz w:val="32"/>
          <w:szCs w:val="32"/>
        </w:rPr>
        <w:t>喀什地区司法局设办公室、政工科、监狱管理科、</w:t>
      </w:r>
      <w:r>
        <w:fldChar w:fldCharType="begin"/>
      </w:r>
      <w:r>
        <w:instrText xml:space="preserve"> HYPERLINK "http://www.110.com/fagui/" </w:instrText>
      </w:r>
      <w:r>
        <w:fldChar w:fldCharType="separate"/>
      </w:r>
      <w:r>
        <w:rPr>
          <w:rFonts w:hint="eastAsia" w:ascii="仿宋_GB2312" w:eastAsia="仿宋_GB2312" w:cs="仿宋_GB2312"/>
          <w:color w:val="333333"/>
          <w:sz w:val="32"/>
          <w:szCs w:val="32"/>
        </w:rPr>
        <w:t>法律</w:t>
      </w:r>
      <w:r>
        <w:rPr>
          <w:rFonts w:hint="eastAsia" w:ascii="仿宋_GB2312" w:eastAsia="仿宋_GB2312" w:cs="仿宋_GB2312"/>
          <w:color w:val="333333"/>
          <w:sz w:val="32"/>
          <w:szCs w:val="32"/>
        </w:rPr>
        <w:fldChar w:fldCharType="end"/>
      </w:r>
      <w:r>
        <w:rPr>
          <w:rFonts w:hint="eastAsia" w:ascii="仿宋_GB2312" w:eastAsia="仿宋_GB2312" w:cs="仿宋_GB2312"/>
          <w:color w:val="333333"/>
          <w:sz w:val="32"/>
          <w:szCs w:val="32"/>
        </w:rPr>
        <w:t>援助科、法制宣传科、</w:t>
      </w:r>
      <w:r>
        <w:fldChar w:fldCharType="begin"/>
      </w:r>
      <w:r>
        <w:instrText xml:space="preserve"> HYPERLINK "http://lawyer.110.com/lawyer/find/" </w:instrText>
      </w:r>
      <w:r>
        <w:fldChar w:fldCharType="separate"/>
      </w:r>
      <w:r>
        <w:rPr>
          <w:rFonts w:hint="eastAsia" w:ascii="仿宋_GB2312" w:eastAsia="仿宋_GB2312" w:cs="仿宋_GB2312"/>
          <w:color w:val="333333"/>
          <w:sz w:val="32"/>
          <w:szCs w:val="32"/>
        </w:rPr>
        <w:t>律师</w:t>
      </w:r>
      <w:r>
        <w:rPr>
          <w:rFonts w:hint="eastAsia" w:ascii="仿宋_GB2312" w:eastAsia="仿宋_GB2312" w:cs="仿宋_GB2312"/>
          <w:color w:val="333333"/>
          <w:sz w:val="32"/>
          <w:szCs w:val="32"/>
        </w:rPr>
        <w:fldChar w:fldCharType="end"/>
      </w:r>
      <w:r>
        <w:rPr>
          <w:rFonts w:hint="eastAsia" w:ascii="仿宋_GB2312" w:eastAsia="仿宋_GB2312" w:cs="仿宋_GB2312"/>
          <w:color w:val="333333"/>
          <w:sz w:val="32"/>
          <w:szCs w:val="32"/>
        </w:rPr>
        <w:t>管理科、公证管理科、基层工作管理科、司法鉴定管理科、司法考试科、社区矫正安置帮教工作管理科</w:t>
      </w:r>
      <w:r>
        <w:rPr>
          <w:rFonts w:ascii="仿宋_GB2312" w:eastAsia="仿宋_GB2312" w:cs="仿宋_GB2312"/>
          <w:color w:val="333333"/>
          <w:sz w:val="32"/>
          <w:szCs w:val="32"/>
        </w:rPr>
        <w:t>11</w:t>
      </w:r>
      <w:r>
        <w:rPr>
          <w:rFonts w:hint="eastAsia" w:ascii="仿宋_GB2312" w:eastAsia="仿宋_GB2312" w:cs="仿宋_GB2312"/>
          <w:color w:val="333333"/>
          <w:sz w:val="32"/>
          <w:szCs w:val="32"/>
        </w:rPr>
        <w:t>个内设机构。喀什地区司法局机关行政编制</w:t>
      </w:r>
      <w:r>
        <w:rPr>
          <w:rFonts w:ascii="仿宋_GB2312" w:eastAsia="仿宋_GB2312" w:cs="仿宋_GB2312"/>
          <w:color w:val="333333"/>
          <w:sz w:val="32"/>
          <w:szCs w:val="32"/>
        </w:rPr>
        <w:t>61</w:t>
      </w:r>
      <w:r>
        <w:rPr>
          <w:rFonts w:hint="eastAsia" w:ascii="仿宋_GB2312" w:eastAsia="仿宋_GB2312" w:cs="仿宋_GB2312"/>
          <w:color w:val="333333"/>
          <w:sz w:val="32"/>
          <w:szCs w:val="32"/>
        </w:rPr>
        <w:t>名，其中：局领导职数</w:t>
      </w:r>
      <w:r>
        <w:rPr>
          <w:rFonts w:ascii="仿宋_GB2312" w:eastAsia="仿宋_GB2312" w:cs="仿宋_GB2312"/>
          <w:color w:val="333333"/>
          <w:sz w:val="32"/>
          <w:szCs w:val="32"/>
        </w:rPr>
        <w:t>4</w:t>
      </w:r>
      <w:r>
        <w:rPr>
          <w:rFonts w:hint="eastAsia" w:ascii="仿宋_GB2312" w:eastAsia="仿宋_GB2312" w:cs="仿宋_GB2312"/>
          <w:color w:val="333333"/>
          <w:sz w:val="32"/>
          <w:szCs w:val="32"/>
        </w:rPr>
        <w:t>名，内设机构领导职数</w:t>
      </w:r>
      <w:r>
        <w:rPr>
          <w:rFonts w:ascii="仿宋_GB2312" w:eastAsia="仿宋_GB2312" w:cs="仿宋_GB2312"/>
          <w:color w:val="333333"/>
          <w:sz w:val="32"/>
          <w:szCs w:val="32"/>
        </w:rPr>
        <w:t>22</w:t>
      </w:r>
      <w:r>
        <w:rPr>
          <w:rFonts w:hint="eastAsia" w:ascii="仿宋_GB2312" w:eastAsia="仿宋_GB2312" w:cs="仿宋_GB2312"/>
          <w:color w:val="333333"/>
          <w:sz w:val="32"/>
          <w:szCs w:val="32"/>
        </w:rPr>
        <w:t>名。核定机关工勤人员事业编制</w:t>
      </w:r>
      <w:r>
        <w:rPr>
          <w:rFonts w:ascii="仿宋_GB2312" w:eastAsia="仿宋_GB2312" w:cs="仿宋_GB2312"/>
          <w:color w:val="333333"/>
          <w:sz w:val="32"/>
          <w:szCs w:val="32"/>
        </w:rPr>
        <w:t>6</w:t>
      </w:r>
      <w:r>
        <w:rPr>
          <w:rFonts w:hint="eastAsia" w:ascii="仿宋_GB2312" w:eastAsia="仿宋_GB2312" w:cs="仿宋_GB2312"/>
          <w:color w:val="333333"/>
          <w:sz w:val="32"/>
          <w:szCs w:val="32"/>
        </w:rPr>
        <w:t>名，</w:t>
      </w:r>
      <w:r>
        <w:rPr>
          <w:rStyle w:val="19"/>
          <w:rFonts w:ascii="仿宋" w:hAnsi="仿宋" w:eastAsia="仿宋" w:cs="仿宋"/>
          <w:b w:val="0"/>
          <w:bCs w:val="0"/>
          <w:spacing w:val="-4"/>
          <w:sz w:val="32"/>
          <w:szCs w:val="32"/>
        </w:rPr>
        <w:t>2018</w:t>
      </w:r>
      <w:r>
        <w:rPr>
          <w:rStyle w:val="19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年年末实有人数</w:t>
      </w:r>
      <w:r>
        <w:rPr>
          <w:rStyle w:val="19"/>
          <w:rFonts w:ascii="仿宋" w:hAnsi="仿宋" w:eastAsia="仿宋" w:cs="仿宋"/>
          <w:b w:val="0"/>
          <w:bCs w:val="0"/>
          <w:spacing w:val="-4"/>
          <w:sz w:val="32"/>
          <w:szCs w:val="32"/>
        </w:rPr>
        <w:t>62</w:t>
      </w:r>
      <w:r>
        <w:rPr>
          <w:rStyle w:val="19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人，退休</w:t>
      </w:r>
      <w:r>
        <w:rPr>
          <w:rStyle w:val="19"/>
          <w:rFonts w:ascii="仿宋" w:hAnsi="仿宋" w:eastAsia="仿宋" w:cs="仿宋"/>
          <w:b w:val="0"/>
          <w:bCs w:val="0"/>
          <w:spacing w:val="-4"/>
          <w:sz w:val="32"/>
          <w:szCs w:val="32"/>
        </w:rPr>
        <w:t>39</w:t>
      </w:r>
      <w:r>
        <w:rPr>
          <w:rStyle w:val="19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人。</w:t>
      </w:r>
    </w:p>
    <w:p>
      <w:pPr>
        <w:adjustRightInd w:val="0"/>
        <w:snapToGrid w:val="0"/>
        <w:spacing w:line="560" w:lineRule="exact"/>
        <w:ind w:firstLine="627" w:firstLineChars="200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（二）项目预算绩效目标设定情况</w:t>
      </w:r>
    </w:p>
    <w:p>
      <w:pPr>
        <w:adjustRightInd w:val="0"/>
        <w:snapToGrid w:val="0"/>
        <w:spacing w:line="560" w:lineRule="exact"/>
        <w:ind w:firstLine="627" w:firstLineChars="200"/>
        <w:rPr>
          <w:rFonts w:ascii="仿宋" w:hAnsi="仿宋" w:eastAsia="仿宋"/>
          <w:b/>
          <w:bCs/>
          <w:spacing w:val="-4"/>
          <w:sz w:val="32"/>
          <w:szCs w:val="32"/>
        </w:rPr>
      </w:pPr>
      <w:r>
        <w:rPr>
          <w:rFonts w:ascii="仿宋" w:hAnsi="仿宋" w:eastAsia="仿宋"/>
          <w:b/>
          <w:bCs/>
          <w:spacing w:val="-4"/>
          <w:sz w:val="32"/>
          <w:szCs w:val="32"/>
        </w:rPr>
        <w:t>1</w:t>
      </w:r>
      <w:r>
        <w:rPr>
          <w:rFonts w:hint="eastAsia" w:ascii="仿宋" w:hAnsi="仿宋" w:eastAsia="仿宋"/>
          <w:b/>
          <w:bCs/>
          <w:spacing w:val="-4"/>
          <w:sz w:val="32"/>
          <w:szCs w:val="32"/>
        </w:rPr>
        <w:t>、项目预期目标及阶段性目标</w:t>
      </w:r>
    </w:p>
    <w:p>
      <w:pPr>
        <w:spacing w:line="540" w:lineRule="exact"/>
        <w:ind w:firstLine="640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该项目属于</w:t>
      </w:r>
      <w:r>
        <w:rPr>
          <w:rStyle w:val="19"/>
          <w:rFonts w:ascii="仿宋" w:hAnsi="仿宋" w:eastAsia="仿宋"/>
          <w:b w:val="0"/>
          <w:spacing w:val="-4"/>
          <w:sz w:val="32"/>
          <w:szCs w:val="32"/>
        </w:rPr>
        <w:t>2018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年度地区财政拨付公证业务经费资金，根据《中华人民共和国公证法》为依据，认真履行公证员职责，合理合法合规办理公证各项案件，为当事人提供优质高效的法律服务。</w:t>
      </w:r>
      <w:r>
        <w:rPr>
          <w:rStyle w:val="19"/>
          <w:rFonts w:ascii="仿宋" w:hAnsi="仿宋" w:eastAsia="仿宋"/>
          <w:spacing w:val="-4"/>
          <w:sz w:val="32"/>
          <w:szCs w:val="32"/>
        </w:rPr>
        <w:t>2</w:t>
      </w:r>
      <w:r>
        <w:rPr>
          <w:rStyle w:val="19"/>
          <w:rFonts w:ascii="仿宋" w:hAnsi="仿宋" w:eastAsia="仿宋"/>
          <w:b w:val="0"/>
          <w:spacing w:val="-4"/>
          <w:sz w:val="32"/>
          <w:szCs w:val="32"/>
        </w:rPr>
        <w:t>018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年公证处预计支出印刷公证案卷表格</w:t>
      </w:r>
      <w:r>
        <w:rPr>
          <w:rStyle w:val="19"/>
          <w:rFonts w:ascii="仿宋" w:hAnsi="仿宋" w:eastAsia="仿宋"/>
          <w:b w:val="0"/>
          <w:spacing w:val="-4"/>
          <w:sz w:val="32"/>
          <w:szCs w:val="32"/>
        </w:rPr>
        <w:t>1.66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万元；举办公证业务培训班</w:t>
      </w:r>
      <w:r>
        <w:rPr>
          <w:rStyle w:val="19"/>
          <w:rFonts w:ascii="仿宋" w:hAnsi="仿宋" w:eastAsia="仿宋"/>
          <w:b w:val="0"/>
          <w:spacing w:val="-4"/>
          <w:sz w:val="32"/>
          <w:szCs w:val="32"/>
        </w:rPr>
        <w:t>2.56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万元；按要求向新疆维吾尔自治区缴纳公证会费和赔偿基金</w:t>
      </w:r>
      <w:r>
        <w:rPr>
          <w:rStyle w:val="19"/>
          <w:rFonts w:ascii="仿宋" w:hAnsi="仿宋" w:eastAsia="仿宋"/>
          <w:b w:val="0"/>
          <w:spacing w:val="-4"/>
          <w:sz w:val="32"/>
          <w:szCs w:val="32"/>
        </w:rPr>
        <w:t>1.78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万元，</w:t>
      </w:r>
    </w:p>
    <w:p>
      <w:pPr>
        <w:adjustRightInd w:val="0"/>
        <w:snapToGrid w:val="0"/>
        <w:spacing w:line="560" w:lineRule="exact"/>
        <w:ind w:firstLine="627" w:firstLineChars="200"/>
        <w:rPr>
          <w:rFonts w:ascii="仿宋" w:hAnsi="仿宋" w:eastAsia="仿宋"/>
          <w:b/>
          <w:bCs/>
          <w:spacing w:val="-4"/>
          <w:sz w:val="32"/>
          <w:szCs w:val="32"/>
        </w:rPr>
      </w:pPr>
      <w:r>
        <w:rPr>
          <w:rFonts w:ascii="仿宋" w:hAnsi="仿宋" w:eastAsia="仿宋"/>
          <w:b/>
          <w:bCs/>
          <w:spacing w:val="-4"/>
          <w:sz w:val="32"/>
          <w:szCs w:val="32"/>
        </w:rPr>
        <w:t>2</w:t>
      </w:r>
      <w:r>
        <w:rPr>
          <w:rFonts w:hint="eastAsia" w:ascii="仿宋" w:hAnsi="仿宋" w:eastAsia="仿宋"/>
          <w:b/>
          <w:bCs/>
          <w:spacing w:val="-4"/>
          <w:sz w:val="32"/>
          <w:szCs w:val="32"/>
        </w:rPr>
        <w:t>、项目基本性质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Cs/>
          <w:color w:val="000000"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color w:val="000000"/>
          <w:spacing w:val="-4"/>
          <w:sz w:val="32"/>
          <w:szCs w:val="32"/>
        </w:rPr>
        <w:t>本项目性质为延续项目。</w:t>
      </w:r>
    </w:p>
    <w:p>
      <w:pPr>
        <w:adjustRightInd w:val="0"/>
        <w:snapToGrid w:val="0"/>
        <w:spacing w:line="560" w:lineRule="exact"/>
        <w:ind w:firstLine="627" w:firstLineChars="200"/>
        <w:rPr>
          <w:rFonts w:ascii="仿宋" w:hAnsi="仿宋" w:eastAsia="仿宋"/>
          <w:b/>
          <w:bCs/>
          <w:spacing w:val="-4"/>
          <w:sz w:val="32"/>
          <w:szCs w:val="32"/>
        </w:rPr>
      </w:pPr>
      <w:r>
        <w:rPr>
          <w:rFonts w:ascii="仿宋" w:hAnsi="仿宋" w:eastAsia="仿宋"/>
          <w:b/>
          <w:bCs/>
          <w:spacing w:val="-4"/>
          <w:sz w:val="32"/>
          <w:szCs w:val="32"/>
        </w:rPr>
        <w:t>3</w:t>
      </w:r>
      <w:r>
        <w:rPr>
          <w:rFonts w:hint="eastAsia" w:ascii="仿宋" w:hAnsi="仿宋" w:eastAsia="仿宋"/>
          <w:b/>
          <w:bCs/>
          <w:spacing w:val="-4"/>
          <w:sz w:val="32"/>
          <w:szCs w:val="32"/>
        </w:rPr>
        <w:t>、项目用途及范围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color w:val="000000"/>
          <w:spacing w:val="-4"/>
          <w:sz w:val="32"/>
          <w:szCs w:val="32"/>
        </w:rPr>
        <w:t>本项目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主要用于开展公证业务中发生的办公费、培训费、会议费等。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二、项目资金使用及管理情况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（一）项目资金安排落实、总投入等情况分析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/>
          <w:bCs/>
          <w:color w:val="000000"/>
          <w:spacing w:val="-4"/>
          <w:sz w:val="32"/>
          <w:szCs w:val="32"/>
        </w:rPr>
      </w:pPr>
      <w:r>
        <w:rPr>
          <w:rFonts w:hint="eastAsia" w:hAnsi="宋体" w:eastAsia="仿宋_GB2312" w:cs="宋体"/>
          <w:kern w:val="0"/>
          <w:sz w:val="32"/>
          <w:szCs w:val="32"/>
        </w:rPr>
        <w:t>公证业务经费项目</w:t>
      </w:r>
      <w:r>
        <w:rPr>
          <w:rFonts w:hint="eastAsia" w:ascii="仿宋" w:hAnsi="仿宋" w:eastAsia="仿宋"/>
          <w:bCs/>
          <w:color w:val="000000"/>
          <w:spacing w:val="-4"/>
          <w:sz w:val="32"/>
          <w:szCs w:val="32"/>
        </w:rPr>
        <w:t>预算安排总额为</w:t>
      </w:r>
      <w:r>
        <w:rPr>
          <w:rFonts w:ascii="仿宋" w:hAnsi="仿宋" w:eastAsia="仿宋"/>
          <w:bCs/>
          <w:color w:val="000000"/>
          <w:spacing w:val="-4"/>
          <w:sz w:val="32"/>
          <w:szCs w:val="32"/>
        </w:rPr>
        <w:t>6</w:t>
      </w:r>
      <w:r>
        <w:rPr>
          <w:rFonts w:hint="eastAsia" w:ascii="仿宋" w:hAnsi="仿宋" w:eastAsia="仿宋"/>
          <w:bCs/>
          <w:color w:val="000000"/>
          <w:spacing w:val="-4"/>
          <w:sz w:val="32"/>
          <w:szCs w:val="32"/>
        </w:rPr>
        <w:t>万元，其中财政资金</w:t>
      </w:r>
      <w:r>
        <w:rPr>
          <w:rFonts w:ascii="仿宋" w:hAnsi="仿宋" w:eastAsia="仿宋"/>
          <w:bCs/>
          <w:color w:val="000000"/>
          <w:spacing w:val="-4"/>
          <w:sz w:val="32"/>
          <w:szCs w:val="32"/>
        </w:rPr>
        <w:t>6</w:t>
      </w:r>
      <w:r>
        <w:rPr>
          <w:rFonts w:hint="eastAsia" w:ascii="仿宋" w:hAnsi="仿宋" w:eastAsia="仿宋"/>
          <w:bCs/>
          <w:color w:val="000000"/>
          <w:spacing w:val="-4"/>
          <w:sz w:val="32"/>
          <w:szCs w:val="32"/>
        </w:rPr>
        <w:t>万元，自筹资金</w:t>
      </w:r>
      <w:r>
        <w:rPr>
          <w:rFonts w:ascii="仿宋" w:hAnsi="仿宋" w:eastAsia="仿宋"/>
          <w:bCs/>
          <w:color w:val="000000"/>
          <w:spacing w:val="-4"/>
          <w:sz w:val="32"/>
          <w:szCs w:val="32"/>
        </w:rPr>
        <w:t>0</w:t>
      </w:r>
      <w:r>
        <w:rPr>
          <w:rFonts w:hint="eastAsia" w:ascii="仿宋" w:hAnsi="仿宋" w:eastAsia="仿宋"/>
          <w:bCs/>
          <w:color w:val="000000"/>
          <w:spacing w:val="-4"/>
          <w:sz w:val="32"/>
          <w:szCs w:val="32"/>
        </w:rPr>
        <w:t>万元，</w:t>
      </w:r>
      <w:r>
        <w:rPr>
          <w:rFonts w:ascii="仿宋" w:hAnsi="仿宋" w:eastAsia="仿宋"/>
          <w:bCs/>
          <w:color w:val="000000"/>
          <w:spacing w:val="-4"/>
          <w:sz w:val="32"/>
          <w:szCs w:val="32"/>
        </w:rPr>
        <w:t>2018</w:t>
      </w:r>
      <w:r>
        <w:rPr>
          <w:rFonts w:hint="eastAsia" w:ascii="仿宋" w:hAnsi="仿宋" w:eastAsia="仿宋"/>
          <w:bCs/>
          <w:color w:val="000000"/>
          <w:spacing w:val="-4"/>
          <w:sz w:val="32"/>
          <w:szCs w:val="32"/>
        </w:rPr>
        <w:t>年实际收到预算资金</w:t>
      </w:r>
      <w:r>
        <w:rPr>
          <w:rFonts w:ascii="仿宋" w:hAnsi="仿宋" w:eastAsia="仿宋"/>
          <w:bCs/>
          <w:color w:val="000000"/>
          <w:spacing w:val="-4"/>
          <w:sz w:val="32"/>
          <w:szCs w:val="32"/>
        </w:rPr>
        <w:t>6</w:t>
      </w:r>
      <w:r>
        <w:rPr>
          <w:rFonts w:hint="eastAsia" w:ascii="仿宋" w:hAnsi="仿宋" w:eastAsia="仿宋"/>
          <w:bCs/>
          <w:color w:val="000000"/>
          <w:spacing w:val="-4"/>
          <w:sz w:val="32"/>
          <w:szCs w:val="32"/>
        </w:rPr>
        <w:t>万元。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（二）项目资金实际使用情况分析</w:t>
      </w:r>
    </w:p>
    <w:p>
      <w:pPr>
        <w:spacing w:line="540" w:lineRule="exact"/>
        <w:ind w:firstLine="640" w:firstLineChars="200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  <w:r>
        <w:rPr>
          <w:rFonts w:hint="eastAsia" w:hAnsi="宋体" w:eastAsia="仿宋_GB2312" w:cs="宋体"/>
          <w:kern w:val="0"/>
          <w:sz w:val="32"/>
          <w:szCs w:val="32"/>
        </w:rPr>
        <w:t>公证业务经费项目</w:t>
      </w:r>
      <w:r>
        <w:rPr>
          <w:rFonts w:hint="eastAsia" w:ascii="仿宋" w:hAnsi="仿宋" w:eastAsia="仿宋"/>
          <w:bCs/>
          <w:color w:val="000000"/>
          <w:spacing w:val="-4"/>
          <w:sz w:val="32"/>
          <w:szCs w:val="32"/>
        </w:rPr>
        <w:t>实际支付资金</w:t>
      </w:r>
      <w:r>
        <w:rPr>
          <w:rFonts w:ascii="仿宋" w:hAnsi="仿宋" w:eastAsia="仿宋"/>
          <w:bCs/>
          <w:color w:val="000000"/>
          <w:spacing w:val="-4"/>
          <w:sz w:val="32"/>
          <w:szCs w:val="32"/>
        </w:rPr>
        <w:t>6</w:t>
      </w:r>
      <w:r>
        <w:rPr>
          <w:rFonts w:hint="eastAsia" w:ascii="仿宋" w:hAnsi="仿宋" w:eastAsia="仿宋"/>
          <w:bCs/>
          <w:color w:val="000000"/>
          <w:spacing w:val="-4"/>
          <w:sz w:val="32"/>
          <w:szCs w:val="32"/>
        </w:rPr>
        <w:t>万元，预算执行率</w:t>
      </w:r>
      <w:r>
        <w:rPr>
          <w:rFonts w:ascii="仿宋" w:hAnsi="仿宋" w:eastAsia="仿宋"/>
          <w:bCs/>
          <w:color w:val="000000"/>
          <w:spacing w:val="-4"/>
          <w:sz w:val="32"/>
          <w:szCs w:val="32"/>
        </w:rPr>
        <w:t>100%</w:t>
      </w:r>
      <w:r>
        <w:rPr>
          <w:rFonts w:hint="eastAsia" w:ascii="仿宋" w:hAnsi="仿宋" w:eastAsia="仿宋"/>
          <w:bCs/>
          <w:color w:val="000000"/>
          <w:spacing w:val="-4"/>
          <w:sz w:val="32"/>
          <w:szCs w:val="32"/>
        </w:rPr>
        <w:t>，</w:t>
      </w:r>
      <w:r>
        <w:rPr>
          <w:rStyle w:val="19"/>
          <w:rFonts w:ascii="仿宋" w:hAnsi="仿宋" w:eastAsia="仿宋"/>
          <w:spacing w:val="-4"/>
          <w:sz w:val="32"/>
          <w:szCs w:val="32"/>
        </w:rPr>
        <w:t>2</w:t>
      </w:r>
      <w:r>
        <w:rPr>
          <w:rStyle w:val="19"/>
          <w:rFonts w:ascii="仿宋" w:hAnsi="仿宋" w:eastAsia="仿宋"/>
          <w:b w:val="0"/>
          <w:spacing w:val="-4"/>
          <w:sz w:val="32"/>
          <w:szCs w:val="32"/>
        </w:rPr>
        <w:t>018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年公证处实际支出情况：印刷公证案卷表格</w:t>
      </w:r>
      <w:r>
        <w:rPr>
          <w:rStyle w:val="19"/>
          <w:rFonts w:ascii="仿宋" w:hAnsi="仿宋" w:eastAsia="仿宋"/>
          <w:b w:val="0"/>
          <w:spacing w:val="-4"/>
          <w:sz w:val="32"/>
          <w:szCs w:val="32"/>
        </w:rPr>
        <w:t>1.66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万元；举办公证业务培训班</w:t>
      </w:r>
      <w:r>
        <w:rPr>
          <w:rStyle w:val="19"/>
          <w:rFonts w:ascii="仿宋" w:hAnsi="仿宋" w:eastAsia="仿宋"/>
          <w:b w:val="0"/>
          <w:spacing w:val="-4"/>
          <w:sz w:val="32"/>
          <w:szCs w:val="32"/>
        </w:rPr>
        <w:t>2.56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万元；按要求向新疆维吾尔自治区缴纳公证会费和赔偿基金</w:t>
      </w:r>
      <w:r>
        <w:rPr>
          <w:rStyle w:val="19"/>
          <w:rFonts w:ascii="仿宋" w:hAnsi="仿宋" w:eastAsia="仿宋"/>
          <w:b w:val="0"/>
          <w:spacing w:val="-4"/>
          <w:sz w:val="32"/>
          <w:szCs w:val="32"/>
        </w:rPr>
        <w:t>1.78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万元，拨付公证业务资金</w:t>
      </w:r>
      <w:r>
        <w:rPr>
          <w:rStyle w:val="19"/>
          <w:rFonts w:ascii="仿宋" w:hAnsi="仿宋" w:eastAsia="仿宋"/>
          <w:b w:val="0"/>
          <w:spacing w:val="-4"/>
          <w:sz w:val="32"/>
          <w:szCs w:val="32"/>
        </w:rPr>
        <w:t xml:space="preserve"> 6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万元全部已使用完毕，使用率达到</w:t>
      </w:r>
      <w:r>
        <w:rPr>
          <w:rStyle w:val="19"/>
          <w:rFonts w:ascii="仿宋" w:hAnsi="仿宋" w:eastAsia="仿宋"/>
          <w:b w:val="0"/>
          <w:spacing w:val="-4"/>
          <w:sz w:val="32"/>
          <w:szCs w:val="32"/>
        </w:rPr>
        <w:t>100%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（三）项目资金管理情况分析</w:t>
      </w:r>
    </w:p>
    <w:p>
      <w:pPr>
        <w:spacing w:line="540" w:lineRule="exact"/>
        <w:ind w:firstLine="777" w:firstLineChars="243"/>
        <w:rPr>
          <w:rFonts w:ascii="仿宋" w:hAnsi="仿宋" w:eastAsia="仿宋"/>
          <w:bCs/>
          <w:color w:val="FF0000"/>
          <w:spacing w:val="-4"/>
          <w:sz w:val="32"/>
          <w:szCs w:val="32"/>
        </w:rPr>
      </w:pPr>
      <w:r>
        <w:rPr>
          <w:rFonts w:hint="eastAsia" w:hAnsi="宋体" w:eastAsia="仿宋_GB2312" w:cs="宋体"/>
          <w:kern w:val="0"/>
          <w:sz w:val="32"/>
          <w:szCs w:val="32"/>
        </w:rPr>
        <w:t>公证业务经费项目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属于财政拨付公证业务资金项目，使用过程当中严格按照专项资金管理办法执行，符合司法行政业务公证业务经费使用范围，</w:t>
      </w:r>
      <w:r>
        <w:rPr>
          <w:rFonts w:hint="eastAsia" w:ascii="仿宋" w:hAnsi="仿宋" w:eastAsia="仿宋"/>
          <w:bCs/>
          <w:color w:val="000000"/>
          <w:spacing w:val="-4"/>
          <w:sz w:val="32"/>
          <w:szCs w:val="32"/>
        </w:rPr>
        <w:t>使用时有完整的审批程序和手续，不存在截留、挤占、挪用等情况。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三、项目组织实施情况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（一）项目组织情况分析</w:t>
      </w:r>
    </w:p>
    <w:p>
      <w:pPr>
        <w:adjustRightInd w:val="0"/>
        <w:snapToGrid w:val="0"/>
        <w:spacing w:line="560" w:lineRule="exact"/>
        <w:ind w:firstLine="640" w:firstLineChars="200"/>
        <w:rPr>
          <w:rStyle w:val="19"/>
          <w:rFonts w:ascii="仿宋" w:hAnsi="仿宋" w:eastAsia="仿宋"/>
          <w:b w:val="0"/>
          <w:color w:val="000000"/>
          <w:spacing w:val="-4"/>
          <w:sz w:val="32"/>
          <w:szCs w:val="32"/>
        </w:rPr>
      </w:pPr>
      <w:r>
        <w:rPr>
          <w:rFonts w:hint="eastAsia" w:hAnsi="宋体" w:eastAsia="仿宋_GB2312" w:cs="宋体"/>
          <w:kern w:val="0"/>
          <w:sz w:val="32"/>
          <w:szCs w:val="32"/>
        </w:rPr>
        <w:t>公证业务经费项目在使用中，严格按照政府采购的要求办理公证案卷表格印刷手续</w:t>
      </w:r>
      <w:r>
        <w:rPr>
          <w:rStyle w:val="19"/>
          <w:rFonts w:hint="eastAsia" w:ascii="仿宋" w:hAnsi="仿宋" w:eastAsia="仿宋"/>
          <w:b w:val="0"/>
          <w:color w:val="000000"/>
          <w:spacing w:val="-4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0" w:firstLineChars="200"/>
        <w:rPr>
          <w:rStyle w:val="19"/>
          <w:rFonts w:ascii="仿宋" w:hAnsi="仿宋" w:eastAsia="仿宋"/>
          <w:b w:val="0"/>
          <w:color w:val="000000"/>
          <w:spacing w:val="-4"/>
          <w:sz w:val="32"/>
          <w:szCs w:val="32"/>
        </w:rPr>
      </w:pPr>
      <w:r>
        <w:rPr>
          <w:rFonts w:hint="eastAsia" w:hAnsi="宋体" w:eastAsia="仿宋_GB2312" w:cs="宋体"/>
          <w:kern w:val="0"/>
          <w:sz w:val="32"/>
          <w:szCs w:val="32"/>
        </w:rPr>
        <w:t>公证业务经费项目不存在</w:t>
      </w:r>
      <w:r>
        <w:rPr>
          <w:rStyle w:val="19"/>
          <w:rFonts w:hint="eastAsia" w:ascii="仿宋" w:hAnsi="仿宋" w:eastAsia="仿宋"/>
          <w:b w:val="0"/>
          <w:color w:val="000000"/>
          <w:spacing w:val="-4"/>
          <w:sz w:val="32"/>
          <w:szCs w:val="32"/>
        </w:rPr>
        <w:t>调整情况。</w:t>
      </w:r>
    </w:p>
    <w:p>
      <w:pPr>
        <w:adjustRightInd w:val="0"/>
        <w:snapToGrid w:val="0"/>
        <w:spacing w:line="560" w:lineRule="exact"/>
        <w:ind w:firstLine="640" w:firstLineChars="200"/>
        <w:rPr>
          <w:rStyle w:val="19"/>
          <w:rFonts w:ascii="仿宋" w:hAnsi="仿宋" w:eastAsia="仿宋"/>
          <w:b w:val="0"/>
          <w:color w:val="000000"/>
          <w:spacing w:val="-4"/>
          <w:sz w:val="32"/>
          <w:szCs w:val="32"/>
        </w:rPr>
      </w:pPr>
      <w:r>
        <w:rPr>
          <w:rFonts w:hint="eastAsia" w:hAnsi="宋体" w:eastAsia="仿宋_GB2312" w:cs="宋体"/>
          <w:kern w:val="0"/>
          <w:sz w:val="32"/>
          <w:szCs w:val="32"/>
        </w:rPr>
        <w:t>公证业务经费项目在公证案卷表格印刷手续时存在</w:t>
      </w:r>
      <w:r>
        <w:rPr>
          <w:rStyle w:val="19"/>
          <w:rFonts w:hint="eastAsia" w:ascii="仿宋" w:hAnsi="仿宋" w:eastAsia="仿宋"/>
          <w:b w:val="0"/>
          <w:color w:val="000000"/>
          <w:spacing w:val="-4"/>
          <w:sz w:val="32"/>
          <w:szCs w:val="32"/>
        </w:rPr>
        <w:t>验收程序。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（二）项目管理情况分析</w:t>
      </w:r>
    </w:p>
    <w:p>
      <w:pPr>
        <w:spacing w:line="540" w:lineRule="exact"/>
        <w:ind w:firstLine="640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  <w:r>
        <w:rPr>
          <w:rFonts w:hint="eastAsia" w:hAnsi="宋体" w:eastAsia="仿宋_GB2312" w:cs="宋体"/>
          <w:kern w:val="0"/>
          <w:sz w:val="32"/>
          <w:szCs w:val="32"/>
        </w:rPr>
        <w:t>公证业务经费项目在</w:t>
      </w:r>
      <w:r>
        <w:rPr>
          <w:rFonts w:hint="eastAsia" w:ascii="仿宋" w:hAnsi="仿宋" w:eastAsia="仿宋"/>
          <w:bCs/>
          <w:color w:val="000000"/>
          <w:spacing w:val="-4"/>
          <w:sz w:val="32"/>
          <w:szCs w:val="32"/>
        </w:rPr>
        <w:t>实施过程中，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根据《中华人民共和国公证法》为依据，认真履行公证员职责，合理合法合规办理公证各项案件，为当事人提供优质高效的法律服务，该项目属于</w:t>
      </w:r>
      <w:r>
        <w:rPr>
          <w:rStyle w:val="19"/>
          <w:rFonts w:ascii="仿宋" w:hAnsi="仿宋" w:eastAsia="仿宋"/>
          <w:b w:val="0"/>
          <w:spacing w:val="-4"/>
          <w:sz w:val="32"/>
          <w:szCs w:val="32"/>
        </w:rPr>
        <w:t>2018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年度地区财政拨付公证业务经费资金，主要用于开展公证业务中发生的办公费、培训费、会议费等费用</w:t>
      </w:r>
      <w:r>
        <w:rPr>
          <w:rStyle w:val="19"/>
          <w:rFonts w:hint="eastAsia" w:ascii="仿宋" w:hAnsi="仿宋" w:eastAsia="仿宋"/>
          <w:spacing w:val="-4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19"/>
          <w:rFonts w:ascii="黑体" w:hAnsi="黑体" w:eastAsia="黑体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四、项目绩效情况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19"/>
          <w:rFonts w:ascii="楷体" w:hAnsi="楷体" w:eastAsia="楷体"/>
          <w:bCs w:val="0"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（一）项目绩效目标完成情况分析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Cs/>
          <w:color w:val="000000"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color w:val="000000"/>
          <w:spacing w:val="-4"/>
          <w:sz w:val="32"/>
          <w:szCs w:val="32"/>
        </w:rPr>
        <w:t>本项目共设置一级指标</w:t>
      </w:r>
      <w:r>
        <w:rPr>
          <w:rFonts w:ascii="仿宋" w:hAnsi="仿宋" w:eastAsia="仿宋"/>
          <w:bCs/>
          <w:color w:val="000000"/>
          <w:spacing w:val="-4"/>
          <w:sz w:val="32"/>
          <w:szCs w:val="32"/>
        </w:rPr>
        <w:t>3</w:t>
      </w:r>
      <w:r>
        <w:rPr>
          <w:rFonts w:hint="eastAsia" w:ascii="仿宋" w:hAnsi="仿宋" w:eastAsia="仿宋"/>
          <w:bCs/>
          <w:color w:val="000000"/>
          <w:spacing w:val="-4"/>
          <w:sz w:val="32"/>
          <w:szCs w:val="32"/>
        </w:rPr>
        <w:t>个，二级指标</w:t>
      </w:r>
      <w:r>
        <w:rPr>
          <w:rFonts w:ascii="仿宋" w:hAnsi="仿宋" w:eastAsia="仿宋"/>
          <w:bCs/>
          <w:color w:val="000000"/>
          <w:spacing w:val="-4"/>
          <w:sz w:val="32"/>
          <w:szCs w:val="32"/>
        </w:rPr>
        <w:t>9</w:t>
      </w:r>
      <w:r>
        <w:rPr>
          <w:rFonts w:hint="eastAsia" w:ascii="仿宋" w:hAnsi="仿宋" w:eastAsia="仿宋"/>
          <w:bCs/>
          <w:color w:val="000000"/>
          <w:spacing w:val="-4"/>
          <w:sz w:val="32"/>
          <w:szCs w:val="32"/>
        </w:rPr>
        <w:t>个，三级指标</w:t>
      </w:r>
      <w:r>
        <w:rPr>
          <w:rFonts w:ascii="仿宋" w:hAnsi="仿宋" w:eastAsia="仿宋"/>
          <w:bCs/>
          <w:color w:val="000000"/>
          <w:spacing w:val="-4"/>
          <w:sz w:val="32"/>
          <w:szCs w:val="32"/>
        </w:rPr>
        <w:t>20</w:t>
      </w:r>
      <w:r>
        <w:rPr>
          <w:rFonts w:hint="eastAsia" w:ascii="仿宋" w:hAnsi="仿宋" w:eastAsia="仿宋"/>
          <w:bCs/>
          <w:color w:val="000000"/>
          <w:spacing w:val="-4"/>
          <w:sz w:val="32"/>
          <w:szCs w:val="32"/>
        </w:rPr>
        <w:t>个，其中已完成三级指标</w:t>
      </w:r>
      <w:r>
        <w:rPr>
          <w:rFonts w:ascii="仿宋" w:hAnsi="仿宋" w:eastAsia="仿宋"/>
          <w:bCs/>
          <w:color w:val="000000"/>
          <w:spacing w:val="-4"/>
          <w:sz w:val="32"/>
          <w:szCs w:val="32"/>
        </w:rPr>
        <w:t>20</w:t>
      </w:r>
      <w:r>
        <w:rPr>
          <w:rFonts w:hint="eastAsia" w:ascii="仿宋" w:hAnsi="仿宋" w:eastAsia="仿宋"/>
          <w:bCs/>
          <w:color w:val="000000"/>
          <w:spacing w:val="-4"/>
          <w:sz w:val="32"/>
          <w:szCs w:val="32"/>
        </w:rPr>
        <w:t>个，指标完成率为</w:t>
      </w:r>
      <w:r>
        <w:rPr>
          <w:rFonts w:ascii="仿宋" w:hAnsi="仿宋" w:eastAsia="仿宋"/>
          <w:bCs/>
          <w:color w:val="000000"/>
          <w:spacing w:val="-4"/>
          <w:sz w:val="32"/>
          <w:szCs w:val="32"/>
        </w:rPr>
        <w:t>100%</w:t>
      </w:r>
      <w:r>
        <w:rPr>
          <w:rFonts w:hint="eastAsia" w:ascii="仿宋" w:hAnsi="仿宋" w:eastAsia="仿宋"/>
          <w:bCs/>
          <w:color w:val="000000"/>
          <w:spacing w:val="-4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9"/>
          <w:rFonts w:ascii="仿宋" w:hAnsi="仿宋" w:eastAsia="仿宋"/>
          <w:b w:val="0"/>
          <w:color w:val="FF0000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/>
          <w:b w:val="0"/>
          <w:color w:val="000000"/>
          <w:spacing w:val="-4"/>
          <w:sz w:val="32"/>
          <w:szCs w:val="32"/>
        </w:rPr>
        <w:t>经济性：主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要认真履行公证员职责，合理合法合规办理公证各项案件，为当事人提供优质高效的法律服务，收到的公证费全部缴入地区财政国库，不存在经济效益</w:t>
      </w:r>
      <w:r>
        <w:rPr>
          <w:rStyle w:val="19"/>
          <w:rFonts w:hint="eastAsia" w:ascii="仿宋" w:hAnsi="仿宋" w:eastAsia="仿宋"/>
          <w:b w:val="0"/>
          <w:color w:val="000000"/>
          <w:spacing w:val="-4"/>
          <w:sz w:val="32"/>
          <w:szCs w:val="32"/>
        </w:rPr>
        <w:t>。</w:t>
      </w:r>
    </w:p>
    <w:p>
      <w:pPr>
        <w:spacing w:line="540" w:lineRule="exact"/>
        <w:ind w:firstLine="624" w:firstLineChars="200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/>
          <w:b w:val="0"/>
          <w:color w:val="000000"/>
          <w:spacing w:val="-4"/>
          <w:sz w:val="32"/>
          <w:szCs w:val="32"/>
        </w:rPr>
        <w:t>效率性：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拨付公证业务资金</w:t>
      </w:r>
      <w:r>
        <w:rPr>
          <w:rStyle w:val="19"/>
          <w:rFonts w:ascii="仿宋" w:hAnsi="仿宋" w:eastAsia="仿宋"/>
          <w:b w:val="0"/>
          <w:spacing w:val="-4"/>
          <w:sz w:val="32"/>
          <w:szCs w:val="32"/>
        </w:rPr>
        <w:t xml:space="preserve"> 6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万元全部已使用完毕，使用率达到</w:t>
      </w:r>
      <w:r>
        <w:rPr>
          <w:rStyle w:val="19"/>
          <w:rFonts w:ascii="仿宋" w:hAnsi="仿宋" w:eastAsia="仿宋"/>
          <w:b w:val="0"/>
          <w:spacing w:val="-4"/>
          <w:sz w:val="32"/>
          <w:szCs w:val="32"/>
        </w:rPr>
        <w:t>100%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Cs/>
          <w:color w:val="FF0000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/>
          <w:b w:val="0"/>
          <w:color w:val="000000"/>
          <w:spacing w:val="-4"/>
          <w:sz w:val="32"/>
          <w:szCs w:val="32"/>
        </w:rPr>
        <w:t>效益性：通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过实施该项目</w:t>
      </w:r>
      <w:r>
        <w:rPr>
          <w:rStyle w:val="19"/>
          <w:rFonts w:hint="eastAsia" w:ascii="仿宋" w:hAnsi="仿宋" w:eastAsia="仿宋"/>
          <w:b w:val="0"/>
          <w:color w:val="000000"/>
          <w:spacing w:val="-4"/>
          <w:sz w:val="32"/>
          <w:szCs w:val="32"/>
        </w:rPr>
        <w:t>主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要认真履行公证员职责，合理合法合规办理公证各项案件，为当事人提供优质高效的法律服务，不断提升化解矛盾能力，促进社会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和谐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。</w:t>
      </w:r>
      <w:r>
        <w:rPr>
          <w:rStyle w:val="19"/>
          <w:rFonts w:ascii="仿宋" w:hAnsi="仿宋" w:eastAsia="仿宋"/>
          <w:b w:val="0"/>
          <w:spacing w:val="-4"/>
          <w:sz w:val="32"/>
          <w:szCs w:val="32"/>
        </w:rPr>
        <w:t xml:space="preserve">  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（二）项目绩效目标未完成原因分析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color w:val="FF0000"/>
          <w:spacing w:val="-4"/>
          <w:sz w:val="32"/>
          <w:szCs w:val="32"/>
        </w:rPr>
      </w:pPr>
      <w:r>
        <w:rPr>
          <w:rFonts w:ascii="仿宋" w:hAnsi="仿宋" w:eastAsia="仿宋"/>
          <w:color w:val="000000"/>
          <w:spacing w:val="-4"/>
          <w:sz w:val="32"/>
          <w:szCs w:val="32"/>
        </w:rPr>
        <w:t>2018</w:t>
      </w:r>
      <w:r>
        <w:rPr>
          <w:rFonts w:hint="eastAsia" w:ascii="仿宋" w:hAnsi="仿宋" w:eastAsia="仿宋"/>
          <w:color w:val="000000"/>
          <w:spacing w:val="-4"/>
          <w:sz w:val="32"/>
          <w:szCs w:val="32"/>
        </w:rPr>
        <w:t>年本项目绩效目标全部达成，不存在未完成原因分析。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五、其他需要说明的问题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（一）后续工作计划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根据《中华人民共和国公证法》为依据，认真履行公证员职责，合理合法合规办理公证各项案件，为当事人提供优质高效的法律服务。</w:t>
      </w:r>
    </w:p>
    <w:p>
      <w:pPr>
        <w:adjustRightInd w:val="0"/>
        <w:snapToGrid w:val="0"/>
        <w:spacing w:line="560" w:lineRule="exact"/>
        <w:ind w:firstLine="627" w:firstLineChars="200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（二）主要经验及做法、存在问题和建议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Fonts w:ascii="仿宋" w:hAnsi="仿宋" w:eastAsia="仿宋"/>
          <w:bCs/>
          <w:spacing w:val="-4"/>
          <w:sz w:val="32"/>
          <w:szCs w:val="32"/>
        </w:rPr>
        <w:t>1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、主要经验及做法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实施该项目</w:t>
      </w:r>
      <w:r>
        <w:rPr>
          <w:rStyle w:val="19"/>
          <w:rFonts w:hint="eastAsia" w:ascii="仿宋" w:hAnsi="仿宋" w:eastAsia="仿宋"/>
          <w:b w:val="0"/>
          <w:color w:val="000000"/>
          <w:spacing w:val="-4"/>
          <w:sz w:val="32"/>
          <w:szCs w:val="32"/>
        </w:rPr>
        <w:t>主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要认真履行公证员职责，合理合法合规办理公证各项案件，为当事人提供优质高效的法律服务，不断提升化解矛盾能力，促进社会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和谐</w:t>
      </w:r>
      <w:bookmarkStart w:id="0" w:name="_GoBack"/>
      <w:bookmarkEnd w:id="0"/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Fonts w:ascii="仿宋" w:hAnsi="仿宋" w:eastAsia="仿宋"/>
          <w:bCs/>
          <w:spacing w:val="-4"/>
          <w:sz w:val="32"/>
          <w:szCs w:val="32"/>
        </w:rPr>
        <w:t>2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、存在的问题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color w:val="000000"/>
          <w:spacing w:val="-4"/>
          <w:sz w:val="32"/>
          <w:szCs w:val="32"/>
        </w:rPr>
      </w:pPr>
      <w:r>
        <w:rPr>
          <w:rFonts w:hint="eastAsia" w:ascii="仿宋" w:hAnsi="仿宋" w:eastAsia="仿宋"/>
          <w:color w:val="000000"/>
          <w:spacing w:val="-4"/>
          <w:sz w:val="32"/>
          <w:szCs w:val="32"/>
        </w:rPr>
        <w:t>不存在问题。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Fonts w:ascii="仿宋" w:hAnsi="仿宋" w:eastAsia="仿宋"/>
          <w:bCs/>
          <w:spacing w:val="-4"/>
          <w:sz w:val="32"/>
          <w:szCs w:val="32"/>
        </w:rPr>
        <w:t>3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、建议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仿宋" w:hAnsi="仿宋" w:eastAsia="仿宋"/>
          <w:color w:val="000000"/>
          <w:spacing w:val="-4"/>
          <w:sz w:val="32"/>
          <w:szCs w:val="32"/>
        </w:rPr>
        <w:t>无。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（三）其他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color w:val="000000"/>
          <w:spacing w:val="-4"/>
          <w:sz w:val="32"/>
          <w:szCs w:val="32"/>
        </w:rPr>
      </w:pPr>
      <w:r>
        <w:rPr>
          <w:rFonts w:hint="eastAsia" w:ascii="仿宋" w:hAnsi="仿宋" w:eastAsia="仿宋"/>
          <w:color w:val="000000"/>
          <w:spacing w:val="-4"/>
          <w:sz w:val="32"/>
          <w:szCs w:val="32"/>
        </w:rPr>
        <w:t>无其他说明内容。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Fonts w:ascii="黑体" w:hAnsi="黑体" w:eastAsia="黑体"/>
          <w:bCs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六、项目评价工作情况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color w:val="000000"/>
          <w:spacing w:val="-4"/>
          <w:sz w:val="32"/>
          <w:szCs w:val="32"/>
        </w:rPr>
      </w:pPr>
      <w:r>
        <w:rPr>
          <w:rFonts w:hint="eastAsia" w:ascii="仿宋" w:hAnsi="仿宋" w:eastAsia="仿宋"/>
          <w:color w:val="000000"/>
          <w:spacing w:val="-4"/>
          <w:sz w:val="32"/>
          <w:szCs w:val="32"/>
        </w:rPr>
        <w:t>本次评价通过文件研读、实地调研、数据分析等方式，全面了解</w:t>
      </w:r>
      <w:r>
        <w:rPr>
          <w:rFonts w:hint="eastAsia" w:hAnsi="宋体" w:eastAsia="仿宋_GB2312" w:cs="宋体"/>
          <w:color w:val="000000"/>
          <w:kern w:val="0"/>
          <w:sz w:val="32"/>
          <w:szCs w:val="32"/>
        </w:rPr>
        <w:t>公证业务经费项目</w:t>
      </w:r>
      <w:r>
        <w:rPr>
          <w:rFonts w:hint="eastAsia" w:ascii="仿宋" w:hAnsi="仿宋" w:eastAsia="仿宋"/>
          <w:color w:val="000000"/>
          <w:spacing w:val="-4"/>
          <w:sz w:val="32"/>
          <w:szCs w:val="32"/>
        </w:rPr>
        <w:t>资金的使用效率和效果，项目管理过程规范，完成了预期绩效目标。同时，通过开展自我评价来总结经验和教训，为喀什地区</w:t>
      </w:r>
      <w:r>
        <w:rPr>
          <w:rFonts w:hint="eastAsia" w:hAnsi="宋体" w:eastAsia="仿宋_GB2312" w:cs="宋体"/>
          <w:color w:val="000000"/>
          <w:kern w:val="0"/>
          <w:sz w:val="32"/>
          <w:szCs w:val="32"/>
        </w:rPr>
        <w:t>公证业务经费</w:t>
      </w:r>
      <w:r>
        <w:rPr>
          <w:rFonts w:hint="eastAsia" w:ascii="仿宋" w:hAnsi="仿宋" w:eastAsia="仿宋"/>
          <w:color w:val="000000"/>
          <w:spacing w:val="-4"/>
          <w:sz w:val="32"/>
          <w:szCs w:val="32"/>
        </w:rPr>
        <w:t>项目今后的开展提供参考建议。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七、附表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《项目支出绩效目标自评表》</w:t>
      </w:r>
    </w:p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pgNumType w:start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framePr w:wrap="around" w:vAnchor="text" w:hAnchor="margin" w:xAlign="center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separate"/>
    </w:r>
    <w:r>
      <w:rPr>
        <w:rStyle w:val="20"/>
      </w:rPr>
      <w:t>1</w:t>
    </w:r>
    <w:r>
      <w:rPr>
        <w:rStyle w:val="20"/>
      </w:rPr>
      <w:fldChar w:fldCharType="end"/>
    </w:r>
  </w:p>
  <w:p>
    <w:pPr>
      <w:pStyle w:val="13"/>
      <w:jc w:val="center"/>
    </w:pPr>
  </w:p>
  <w:p>
    <w:pPr>
      <w:pStyle w:val="1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framePr w:wrap="around" w:vAnchor="text" w:hAnchor="margin" w:xAlign="center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A6457"/>
    <w:rsid w:val="00001C08"/>
    <w:rsid w:val="0000442C"/>
    <w:rsid w:val="0000518C"/>
    <w:rsid w:val="000160EC"/>
    <w:rsid w:val="00032B66"/>
    <w:rsid w:val="000A6B55"/>
    <w:rsid w:val="000C4901"/>
    <w:rsid w:val="000E1336"/>
    <w:rsid w:val="000E2F66"/>
    <w:rsid w:val="000F5256"/>
    <w:rsid w:val="00111E1C"/>
    <w:rsid w:val="00114D47"/>
    <w:rsid w:val="0012208E"/>
    <w:rsid w:val="001335CD"/>
    <w:rsid w:val="00135256"/>
    <w:rsid w:val="00141189"/>
    <w:rsid w:val="00145F58"/>
    <w:rsid w:val="00154228"/>
    <w:rsid w:val="0018254A"/>
    <w:rsid w:val="001A213C"/>
    <w:rsid w:val="001A4E1F"/>
    <w:rsid w:val="001A57B9"/>
    <w:rsid w:val="001B2F17"/>
    <w:rsid w:val="001C3847"/>
    <w:rsid w:val="001C57FB"/>
    <w:rsid w:val="001D5A4B"/>
    <w:rsid w:val="001D72E1"/>
    <w:rsid w:val="001F13E3"/>
    <w:rsid w:val="001F3031"/>
    <w:rsid w:val="00210A26"/>
    <w:rsid w:val="00241DE2"/>
    <w:rsid w:val="00261E9A"/>
    <w:rsid w:val="00264A5E"/>
    <w:rsid w:val="00264C65"/>
    <w:rsid w:val="00282277"/>
    <w:rsid w:val="002916D5"/>
    <w:rsid w:val="002A2532"/>
    <w:rsid w:val="002C5F13"/>
    <w:rsid w:val="002C7832"/>
    <w:rsid w:val="002E162A"/>
    <w:rsid w:val="003073EF"/>
    <w:rsid w:val="003354F6"/>
    <w:rsid w:val="00357FBC"/>
    <w:rsid w:val="00363BA2"/>
    <w:rsid w:val="00365250"/>
    <w:rsid w:val="0036624C"/>
    <w:rsid w:val="003672A2"/>
    <w:rsid w:val="00373937"/>
    <w:rsid w:val="003764E9"/>
    <w:rsid w:val="003855FE"/>
    <w:rsid w:val="00385849"/>
    <w:rsid w:val="0039607F"/>
    <w:rsid w:val="003D0692"/>
    <w:rsid w:val="003D27E9"/>
    <w:rsid w:val="003D72D3"/>
    <w:rsid w:val="004117EA"/>
    <w:rsid w:val="00415308"/>
    <w:rsid w:val="00421725"/>
    <w:rsid w:val="0044524A"/>
    <w:rsid w:val="00453E6E"/>
    <w:rsid w:val="00460744"/>
    <w:rsid w:val="004902B0"/>
    <w:rsid w:val="004A0BC7"/>
    <w:rsid w:val="004B6F6D"/>
    <w:rsid w:val="004B768B"/>
    <w:rsid w:val="004D0FAE"/>
    <w:rsid w:val="004E53E3"/>
    <w:rsid w:val="004F4B74"/>
    <w:rsid w:val="0050167F"/>
    <w:rsid w:val="00514506"/>
    <w:rsid w:val="005162F1"/>
    <w:rsid w:val="00516E80"/>
    <w:rsid w:val="00522A38"/>
    <w:rsid w:val="00535153"/>
    <w:rsid w:val="005459B8"/>
    <w:rsid w:val="005470FD"/>
    <w:rsid w:val="005561DC"/>
    <w:rsid w:val="00575CFE"/>
    <w:rsid w:val="00583AFC"/>
    <w:rsid w:val="00592D09"/>
    <w:rsid w:val="005967D1"/>
    <w:rsid w:val="005C51C8"/>
    <w:rsid w:val="005E6797"/>
    <w:rsid w:val="005E7EEE"/>
    <w:rsid w:val="00610840"/>
    <w:rsid w:val="00613FAE"/>
    <w:rsid w:val="006659AB"/>
    <w:rsid w:val="006744DF"/>
    <w:rsid w:val="00675D58"/>
    <w:rsid w:val="00684BA4"/>
    <w:rsid w:val="006948B3"/>
    <w:rsid w:val="00696038"/>
    <w:rsid w:val="006B3C9F"/>
    <w:rsid w:val="006B60C0"/>
    <w:rsid w:val="006F2E6D"/>
    <w:rsid w:val="006F549C"/>
    <w:rsid w:val="00720176"/>
    <w:rsid w:val="007218B8"/>
    <w:rsid w:val="00765781"/>
    <w:rsid w:val="00771EE0"/>
    <w:rsid w:val="00785A64"/>
    <w:rsid w:val="00785FDE"/>
    <w:rsid w:val="00786A28"/>
    <w:rsid w:val="007A0351"/>
    <w:rsid w:val="007A14BC"/>
    <w:rsid w:val="007C1025"/>
    <w:rsid w:val="007C2C5C"/>
    <w:rsid w:val="007C4DAA"/>
    <w:rsid w:val="007C59CE"/>
    <w:rsid w:val="007C5B8F"/>
    <w:rsid w:val="007C5E95"/>
    <w:rsid w:val="007D4E3D"/>
    <w:rsid w:val="007E6845"/>
    <w:rsid w:val="007F2E3B"/>
    <w:rsid w:val="007F5F8A"/>
    <w:rsid w:val="008023CB"/>
    <w:rsid w:val="00816943"/>
    <w:rsid w:val="00826CA1"/>
    <w:rsid w:val="00835B7F"/>
    <w:rsid w:val="00855E3A"/>
    <w:rsid w:val="008921D4"/>
    <w:rsid w:val="00897A8E"/>
    <w:rsid w:val="00897C32"/>
    <w:rsid w:val="008C78A0"/>
    <w:rsid w:val="008D67AE"/>
    <w:rsid w:val="009115A9"/>
    <w:rsid w:val="009217C5"/>
    <w:rsid w:val="00922CB9"/>
    <w:rsid w:val="0092532B"/>
    <w:rsid w:val="009350F7"/>
    <w:rsid w:val="0095164D"/>
    <w:rsid w:val="0098058C"/>
    <w:rsid w:val="00983EB8"/>
    <w:rsid w:val="00996B8C"/>
    <w:rsid w:val="00997256"/>
    <w:rsid w:val="009A2134"/>
    <w:rsid w:val="009B3932"/>
    <w:rsid w:val="009B526F"/>
    <w:rsid w:val="009C1AFD"/>
    <w:rsid w:val="009C1E6B"/>
    <w:rsid w:val="009C7A4A"/>
    <w:rsid w:val="009D120C"/>
    <w:rsid w:val="00A13F57"/>
    <w:rsid w:val="00A26421"/>
    <w:rsid w:val="00A33A5E"/>
    <w:rsid w:val="00A4293B"/>
    <w:rsid w:val="00A507D4"/>
    <w:rsid w:val="00A556F9"/>
    <w:rsid w:val="00A57AEF"/>
    <w:rsid w:val="00A83741"/>
    <w:rsid w:val="00A83BD5"/>
    <w:rsid w:val="00AB0EB2"/>
    <w:rsid w:val="00AB5C56"/>
    <w:rsid w:val="00AE2979"/>
    <w:rsid w:val="00AE561D"/>
    <w:rsid w:val="00AF1556"/>
    <w:rsid w:val="00B06CA5"/>
    <w:rsid w:val="00B273B1"/>
    <w:rsid w:val="00B41F61"/>
    <w:rsid w:val="00B53B66"/>
    <w:rsid w:val="00B55332"/>
    <w:rsid w:val="00B6299E"/>
    <w:rsid w:val="00B72D4B"/>
    <w:rsid w:val="00B73506"/>
    <w:rsid w:val="00B86E8C"/>
    <w:rsid w:val="00BC4291"/>
    <w:rsid w:val="00BD6A49"/>
    <w:rsid w:val="00BE1A00"/>
    <w:rsid w:val="00BE200C"/>
    <w:rsid w:val="00BE51CD"/>
    <w:rsid w:val="00BE62BD"/>
    <w:rsid w:val="00C0639A"/>
    <w:rsid w:val="00C22CF0"/>
    <w:rsid w:val="00C336E8"/>
    <w:rsid w:val="00C41576"/>
    <w:rsid w:val="00C56C72"/>
    <w:rsid w:val="00C6179F"/>
    <w:rsid w:val="00C66848"/>
    <w:rsid w:val="00C66DF7"/>
    <w:rsid w:val="00C91E18"/>
    <w:rsid w:val="00C96A19"/>
    <w:rsid w:val="00CA6457"/>
    <w:rsid w:val="00CB4E50"/>
    <w:rsid w:val="00CC6E4D"/>
    <w:rsid w:val="00CD5EB9"/>
    <w:rsid w:val="00D05B38"/>
    <w:rsid w:val="00D17F2E"/>
    <w:rsid w:val="00D30424"/>
    <w:rsid w:val="00D314AD"/>
    <w:rsid w:val="00D46194"/>
    <w:rsid w:val="00D77FFA"/>
    <w:rsid w:val="00D90C95"/>
    <w:rsid w:val="00D92F62"/>
    <w:rsid w:val="00DA5A17"/>
    <w:rsid w:val="00DD3101"/>
    <w:rsid w:val="00DE0FEB"/>
    <w:rsid w:val="00E01293"/>
    <w:rsid w:val="00E06C24"/>
    <w:rsid w:val="00E07750"/>
    <w:rsid w:val="00E118FE"/>
    <w:rsid w:val="00E22ADB"/>
    <w:rsid w:val="00E43D54"/>
    <w:rsid w:val="00E44484"/>
    <w:rsid w:val="00E769FE"/>
    <w:rsid w:val="00E8443F"/>
    <w:rsid w:val="00EA2CBE"/>
    <w:rsid w:val="00EF7724"/>
    <w:rsid w:val="00F01D27"/>
    <w:rsid w:val="00F32FEE"/>
    <w:rsid w:val="00F80160"/>
    <w:rsid w:val="00F91A59"/>
    <w:rsid w:val="00FA07A6"/>
    <w:rsid w:val="00FE6DEC"/>
    <w:rsid w:val="3BE62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nhideWhenUsed="0" w:uiPriority="99" w:semiHidden="0" w:name="heading 4"/>
    <w:lsdException w:qFormat="1" w:unhideWhenUsed="0" w:uiPriority="99" w:semiHidden="0" w:name="heading 5"/>
    <w:lsdException w:qFormat="1" w:unhideWhenUsed="0" w:uiPriority="99" w:semiHidden="0" w:name="heading 6"/>
    <w:lsdException w:qFormat="1" w:unhideWhenUsed="0" w:uiPriority="99" w:semiHidden="0" w:name="heading 7"/>
    <w:lsdException w:qFormat="1" w:unhideWhenUsed="0" w:uiPriority="99" w:semiHidden="0" w:name="heading 8"/>
    <w:lsdException w:qFormat="1" w:unhideWhenUsed="0" w:uiPriority="99" w:semiHidden="0" w:name="heading 9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iPriority="39" w:name="toc 1" w:locked="1"/>
    <w:lsdException w:uiPriority="39" w:name="toc 2" w:locked="1"/>
    <w:lsdException w:uiPriority="39" w:name="toc 3" w:locked="1"/>
    <w:lsdException w:uiPriority="39" w:name="toc 4" w:locked="1"/>
    <w:lsdException w:uiPriority="39" w:name="toc 5" w:locked="1"/>
    <w:lsdException w:uiPriority="39" w:name="toc 6" w:locked="1"/>
    <w:lsdException w:uiPriority="39" w:name="toc 7" w:locked="1"/>
    <w:lsdException w:uiPriority="39" w:name="toc 8" w:locked="1"/>
    <w:lsdException w:uiPriority="39" w:name="toc 9" w:locked="1"/>
    <w:lsdException w:uiPriority="99" w:name="Normal Indent" w:locked="1"/>
    <w:lsdException w:uiPriority="99" w:name="footnote text" w:locked="1"/>
    <w:lsdException w:uiPriority="99" w:name="annotation text" w:locked="1"/>
    <w:lsdException w:qFormat="1" w:unhideWhenUsed="0" w:uiPriority="99" w:semiHidden="0" w:name="header"/>
    <w:lsdException w:unhideWhenUsed="0" w:uiPriority="99" w:semiHidden="0" w:name="footer"/>
    <w:lsdException w:uiPriority="99" w:name="index heading" w:locked="1"/>
    <w:lsdException w:qFormat="1" w:uiPriority="35" w:name="caption" w:locked="1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unhideWhenUsed="0" w:uiPriority="99" w:semiHidden="0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99" w:semiHidden="0" w:name="Title"/>
    <w:lsdException w:uiPriority="99" w:name="Closing" w:locked="1"/>
    <w:lsdException w:uiPriority="99" w:name="Signature" w:locked="1"/>
    <w:lsdException w:qFormat="1" w:unhideWhenUsed="0" w:uiPriority="99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99" w:semiHidden="0" w:name="Subtitle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uiPriority="99" w:name="Hyperlink" w:locked="1"/>
    <w:lsdException w:uiPriority="99" w:name="FollowedHyperlink" w:locked="1"/>
    <w:lsdException w:qFormat="1" w:unhideWhenUsed="0" w:uiPriority="99" w:semiHidden="0" w:name="Strong"/>
    <w:lsdException w:qFormat="1" w:unhideWhenUsed="0" w:uiPriority="99" w:semiHidden="0" w:name="Emphasis"/>
    <w:lsdException w:unhideWhenUsed="0" w:uiPriority="99" w:name="Document Map"/>
    <w:lsdException w:uiPriority="99" w:name="Plain Text" w:locked="1"/>
    <w:lsdException w:uiPriority="99" w:name="E-mail Signature" w:locked="1"/>
    <w:lsdException w:uiPriority="99" w:name="Normal (Web)" w:locked="1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unhideWhenUsed="0" w:uiPriority="99" w:name="Balloon Text"/>
    <w:lsdException w:unhideWhenUsed="0" w:uiPriority="59" w:semiHidden="0" w:name="Table Grid" w:locked="1"/>
    <w:lsdException w:uiPriority="99" w:name="Table Theme" w:locked="1"/>
    <w:lsdException w:qFormat="1" w:unhideWhenUsed="0" w:uiPriority="99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qFormat="1" w:unhideWhenUsed="0" w:uiPriority="99" w:semiHidden="0" w:name="Quote"/>
    <w:lsdException w:qFormat="1" w:unhideWhenUsed="0" w:uiPriority="99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2"/>
    <w:qFormat/>
    <w:uiPriority w:val="99"/>
    <w:pPr>
      <w:keepNext/>
      <w:widowControl/>
      <w:spacing w:before="240" w:after="60"/>
      <w:jc w:val="left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3"/>
    <w:qFormat/>
    <w:uiPriority w:val="99"/>
    <w:pPr>
      <w:keepNext/>
      <w:widowControl/>
      <w:spacing w:before="240" w:after="60"/>
      <w:jc w:val="left"/>
      <w:outlineLvl w:val="1"/>
    </w:pPr>
    <w:rPr>
      <w:rFonts w:ascii="Cambria" w:hAnsi="Cambr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4"/>
    <w:qFormat/>
    <w:uiPriority w:val="99"/>
    <w:pPr>
      <w:keepNext/>
      <w:widowControl/>
      <w:spacing w:before="240" w:after="60"/>
      <w:jc w:val="left"/>
      <w:outlineLvl w:val="2"/>
    </w:pPr>
    <w:rPr>
      <w:rFonts w:ascii="Cambria" w:hAnsi="Cambr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5"/>
    <w:qFormat/>
    <w:uiPriority w:val="99"/>
    <w:pPr>
      <w:keepNext/>
      <w:widowControl/>
      <w:spacing w:before="240" w:after="60"/>
      <w:jc w:val="left"/>
      <w:outlineLvl w:val="3"/>
    </w:pPr>
    <w:rPr>
      <w:rFonts w:ascii="Calibri" w:hAnsi="Calibri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6"/>
    <w:qFormat/>
    <w:uiPriority w:val="99"/>
    <w:pPr>
      <w:widowControl/>
      <w:spacing w:before="240" w:after="60"/>
      <w:jc w:val="left"/>
      <w:outlineLvl w:val="4"/>
    </w:pPr>
    <w:rPr>
      <w:rFonts w:ascii="Calibri" w:hAnsi="Calibri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7"/>
    <w:qFormat/>
    <w:uiPriority w:val="99"/>
    <w:pPr>
      <w:widowControl/>
      <w:spacing w:before="240" w:after="60"/>
      <w:jc w:val="left"/>
      <w:outlineLvl w:val="5"/>
    </w:pPr>
    <w:rPr>
      <w:rFonts w:ascii="Calibri" w:hAnsi="Calibri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8"/>
    <w:qFormat/>
    <w:uiPriority w:val="99"/>
    <w:pPr>
      <w:widowControl/>
      <w:spacing w:before="240" w:after="60"/>
      <w:jc w:val="left"/>
      <w:outlineLvl w:val="6"/>
    </w:pPr>
    <w:rPr>
      <w:rFonts w:ascii="Calibri" w:hAnsi="Calibri"/>
      <w:kern w:val="0"/>
      <w:sz w:val="24"/>
    </w:rPr>
  </w:style>
  <w:style w:type="paragraph" w:styleId="9">
    <w:name w:val="heading 8"/>
    <w:basedOn w:val="1"/>
    <w:next w:val="1"/>
    <w:link w:val="29"/>
    <w:qFormat/>
    <w:uiPriority w:val="99"/>
    <w:pPr>
      <w:widowControl/>
      <w:spacing w:before="240" w:after="60"/>
      <w:jc w:val="left"/>
      <w:outlineLvl w:val="7"/>
    </w:pPr>
    <w:rPr>
      <w:rFonts w:ascii="Calibri" w:hAnsi="Calibri"/>
      <w:i/>
      <w:iCs/>
      <w:kern w:val="0"/>
      <w:sz w:val="24"/>
    </w:rPr>
  </w:style>
  <w:style w:type="paragraph" w:styleId="10">
    <w:name w:val="heading 9"/>
    <w:basedOn w:val="1"/>
    <w:next w:val="1"/>
    <w:link w:val="30"/>
    <w:qFormat/>
    <w:uiPriority w:val="99"/>
    <w:pPr>
      <w:widowControl/>
      <w:spacing w:before="240" w:after="60"/>
      <w:jc w:val="left"/>
      <w:outlineLvl w:val="8"/>
    </w:pPr>
    <w:rPr>
      <w:rFonts w:ascii="Cambria" w:hAnsi="Cambria"/>
      <w:kern w:val="0"/>
      <w:sz w:val="22"/>
      <w:szCs w:val="22"/>
    </w:rPr>
  </w:style>
  <w:style w:type="character" w:default="1" w:styleId="18">
    <w:name w:val="Default Paragraph Font"/>
    <w:semiHidden/>
    <w:qFormat/>
    <w:uiPriority w:val="99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Document Map"/>
    <w:basedOn w:val="1"/>
    <w:link w:val="47"/>
    <w:semiHidden/>
    <w:uiPriority w:val="99"/>
    <w:rPr>
      <w:rFonts w:ascii="宋体"/>
      <w:sz w:val="18"/>
      <w:szCs w:val="18"/>
    </w:rPr>
  </w:style>
  <w:style w:type="paragraph" w:styleId="12">
    <w:name w:val="Balloon Text"/>
    <w:basedOn w:val="1"/>
    <w:link w:val="48"/>
    <w:semiHidden/>
    <w:uiPriority w:val="99"/>
    <w:rPr>
      <w:sz w:val="18"/>
      <w:szCs w:val="18"/>
    </w:rPr>
  </w:style>
  <w:style w:type="paragraph" w:styleId="13">
    <w:name w:val="footer"/>
    <w:basedOn w:val="1"/>
    <w:link w:val="46"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4">
    <w:name w:val="header"/>
    <w:basedOn w:val="1"/>
    <w:link w:val="45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5">
    <w:name w:val="Subtitle"/>
    <w:basedOn w:val="1"/>
    <w:next w:val="1"/>
    <w:link w:val="32"/>
    <w:qFormat/>
    <w:uiPriority w:val="99"/>
    <w:pPr>
      <w:widowControl/>
      <w:spacing w:after="60"/>
      <w:jc w:val="center"/>
      <w:outlineLvl w:val="1"/>
    </w:pPr>
    <w:rPr>
      <w:rFonts w:ascii="Cambria" w:hAnsi="Cambria"/>
      <w:kern w:val="0"/>
      <w:sz w:val="24"/>
    </w:rPr>
  </w:style>
  <w:style w:type="paragraph" w:styleId="16">
    <w:name w:val="Title"/>
    <w:basedOn w:val="1"/>
    <w:next w:val="1"/>
    <w:link w:val="31"/>
    <w:qFormat/>
    <w:uiPriority w:val="99"/>
    <w:pPr>
      <w:widowControl/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styleId="19">
    <w:name w:val="Strong"/>
    <w:basedOn w:val="18"/>
    <w:qFormat/>
    <w:uiPriority w:val="99"/>
    <w:rPr>
      <w:rFonts w:cs="Times New Roman"/>
      <w:b/>
      <w:bCs/>
    </w:rPr>
  </w:style>
  <w:style w:type="character" w:styleId="20">
    <w:name w:val="page number"/>
    <w:basedOn w:val="18"/>
    <w:locked/>
    <w:uiPriority w:val="99"/>
    <w:rPr>
      <w:rFonts w:cs="Times New Roman"/>
    </w:rPr>
  </w:style>
  <w:style w:type="character" w:styleId="21">
    <w:name w:val="Emphasis"/>
    <w:basedOn w:val="18"/>
    <w:qFormat/>
    <w:uiPriority w:val="99"/>
    <w:rPr>
      <w:rFonts w:ascii="Calibri" w:hAnsi="Calibri" w:cs="Times New Roman"/>
      <w:b/>
      <w:i/>
      <w:iCs/>
    </w:rPr>
  </w:style>
  <w:style w:type="character" w:customStyle="1" w:styleId="22">
    <w:name w:val="Heading 1 Char"/>
    <w:basedOn w:val="18"/>
    <w:link w:val="2"/>
    <w:qFormat/>
    <w:locked/>
    <w:uiPriority w:val="99"/>
    <w:rPr>
      <w:rFonts w:ascii="Cambria" w:hAnsi="Cambria" w:eastAsia="宋体" w:cs="Times New Roman"/>
      <w:b/>
      <w:bCs/>
      <w:kern w:val="32"/>
      <w:sz w:val="32"/>
      <w:szCs w:val="32"/>
    </w:rPr>
  </w:style>
  <w:style w:type="character" w:customStyle="1" w:styleId="23">
    <w:name w:val="Heading 2 Char"/>
    <w:basedOn w:val="18"/>
    <w:link w:val="3"/>
    <w:semiHidden/>
    <w:qFormat/>
    <w:locked/>
    <w:uiPriority w:val="99"/>
    <w:rPr>
      <w:rFonts w:ascii="Cambria" w:hAnsi="Cambria" w:eastAsia="宋体" w:cs="Times New Roman"/>
      <w:b/>
      <w:bCs/>
      <w:i/>
      <w:iCs/>
      <w:sz w:val="28"/>
      <w:szCs w:val="28"/>
    </w:rPr>
  </w:style>
  <w:style w:type="character" w:customStyle="1" w:styleId="24">
    <w:name w:val="Heading 3 Char"/>
    <w:basedOn w:val="18"/>
    <w:link w:val="4"/>
    <w:semiHidden/>
    <w:qFormat/>
    <w:locked/>
    <w:uiPriority w:val="99"/>
    <w:rPr>
      <w:rFonts w:ascii="Cambria" w:hAnsi="Cambria" w:eastAsia="宋体" w:cs="Times New Roman"/>
      <w:b/>
      <w:bCs/>
      <w:sz w:val="26"/>
      <w:szCs w:val="26"/>
    </w:rPr>
  </w:style>
  <w:style w:type="character" w:customStyle="1" w:styleId="25">
    <w:name w:val="Heading 4 Char"/>
    <w:basedOn w:val="18"/>
    <w:link w:val="5"/>
    <w:semiHidden/>
    <w:qFormat/>
    <w:locked/>
    <w:uiPriority w:val="99"/>
    <w:rPr>
      <w:rFonts w:cs="Times New Roman"/>
      <w:b/>
      <w:bCs/>
      <w:sz w:val="28"/>
      <w:szCs w:val="28"/>
    </w:rPr>
  </w:style>
  <w:style w:type="character" w:customStyle="1" w:styleId="26">
    <w:name w:val="Heading 5 Char"/>
    <w:basedOn w:val="18"/>
    <w:link w:val="6"/>
    <w:semiHidden/>
    <w:qFormat/>
    <w:locked/>
    <w:uiPriority w:val="99"/>
    <w:rPr>
      <w:rFonts w:cs="Times New Roman"/>
      <w:b/>
      <w:bCs/>
      <w:i/>
      <w:iCs/>
      <w:sz w:val="26"/>
      <w:szCs w:val="26"/>
    </w:rPr>
  </w:style>
  <w:style w:type="character" w:customStyle="1" w:styleId="27">
    <w:name w:val="Heading 6 Char"/>
    <w:basedOn w:val="18"/>
    <w:link w:val="7"/>
    <w:semiHidden/>
    <w:qFormat/>
    <w:locked/>
    <w:uiPriority w:val="99"/>
    <w:rPr>
      <w:rFonts w:cs="Times New Roman"/>
      <w:b/>
      <w:bCs/>
    </w:rPr>
  </w:style>
  <w:style w:type="character" w:customStyle="1" w:styleId="28">
    <w:name w:val="Heading 7 Char"/>
    <w:basedOn w:val="18"/>
    <w:link w:val="8"/>
    <w:semiHidden/>
    <w:qFormat/>
    <w:locked/>
    <w:uiPriority w:val="99"/>
    <w:rPr>
      <w:rFonts w:cs="Times New Roman"/>
      <w:sz w:val="24"/>
      <w:szCs w:val="24"/>
    </w:rPr>
  </w:style>
  <w:style w:type="character" w:customStyle="1" w:styleId="29">
    <w:name w:val="Heading 8 Char"/>
    <w:basedOn w:val="18"/>
    <w:link w:val="9"/>
    <w:semiHidden/>
    <w:qFormat/>
    <w:locked/>
    <w:uiPriority w:val="99"/>
    <w:rPr>
      <w:rFonts w:cs="Times New Roman"/>
      <w:i/>
      <w:iCs/>
      <w:sz w:val="24"/>
      <w:szCs w:val="24"/>
    </w:rPr>
  </w:style>
  <w:style w:type="character" w:customStyle="1" w:styleId="30">
    <w:name w:val="Heading 9 Char"/>
    <w:basedOn w:val="18"/>
    <w:link w:val="10"/>
    <w:semiHidden/>
    <w:qFormat/>
    <w:locked/>
    <w:uiPriority w:val="99"/>
    <w:rPr>
      <w:rFonts w:ascii="Cambria" w:hAnsi="Cambria" w:eastAsia="宋体" w:cs="Times New Roman"/>
    </w:rPr>
  </w:style>
  <w:style w:type="character" w:customStyle="1" w:styleId="31">
    <w:name w:val="Title Char"/>
    <w:basedOn w:val="18"/>
    <w:link w:val="16"/>
    <w:qFormat/>
    <w:locked/>
    <w:uiPriority w:val="99"/>
    <w:rPr>
      <w:rFonts w:ascii="Cambria" w:hAnsi="Cambria" w:eastAsia="宋体" w:cs="Times New Roman"/>
      <w:b/>
      <w:bCs/>
      <w:kern w:val="28"/>
      <w:sz w:val="32"/>
      <w:szCs w:val="32"/>
    </w:rPr>
  </w:style>
  <w:style w:type="character" w:customStyle="1" w:styleId="32">
    <w:name w:val="Subtitle Char"/>
    <w:basedOn w:val="18"/>
    <w:link w:val="15"/>
    <w:qFormat/>
    <w:locked/>
    <w:uiPriority w:val="99"/>
    <w:rPr>
      <w:rFonts w:ascii="Cambria" w:hAnsi="Cambria" w:eastAsia="宋体" w:cs="Times New Roman"/>
      <w:sz w:val="24"/>
      <w:szCs w:val="24"/>
    </w:rPr>
  </w:style>
  <w:style w:type="paragraph" w:styleId="33">
    <w:name w:val="No Spacing"/>
    <w:basedOn w:val="1"/>
    <w:qFormat/>
    <w:uiPriority w:val="99"/>
    <w:pPr>
      <w:widowControl/>
      <w:jc w:val="left"/>
    </w:pPr>
    <w:rPr>
      <w:rFonts w:ascii="Calibri" w:hAnsi="Calibri"/>
      <w:kern w:val="0"/>
      <w:sz w:val="24"/>
      <w:szCs w:val="32"/>
      <w:lang w:eastAsia="en-US"/>
    </w:rPr>
  </w:style>
  <w:style w:type="paragraph" w:styleId="34">
    <w:name w:val="List Paragraph"/>
    <w:basedOn w:val="1"/>
    <w:qFormat/>
    <w:uiPriority w:val="99"/>
    <w:pPr>
      <w:widowControl/>
      <w:ind w:left="720"/>
      <w:contextualSpacing/>
      <w:jc w:val="left"/>
    </w:pPr>
    <w:rPr>
      <w:rFonts w:ascii="Calibri" w:hAnsi="Calibri"/>
      <w:kern w:val="0"/>
      <w:sz w:val="24"/>
      <w:lang w:eastAsia="en-US"/>
    </w:rPr>
  </w:style>
  <w:style w:type="paragraph" w:styleId="35">
    <w:name w:val="Quote"/>
    <w:basedOn w:val="1"/>
    <w:next w:val="1"/>
    <w:link w:val="36"/>
    <w:qFormat/>
    <w:uiPriority w:val="99"/>
    <w:pPr>
      <w:widowControl/>
      <w:jc w:val="left"/>
    </w:pPr>
    <w:rPr>
      <w:rFonts w:ascii="Calibri" w:hAnsi="Calibri"/>
      <w:i/>
      <w:kern w:val="0"/>
      <w:sz w:val="24"/>
    </w:rPr>
  </w:style>
  <w:style w:type="character" w:customStyle="1" w:styleId="36">
    <w:name w:val="Quote Char"/>
    <w:basedOn w:val="18"/>
    <w:link w:val="35"/>
    <w:qFormat/>
    <w:locked/>
    <w:uiPriority w:val="99"/>
    <w:rPr>
      <w:rFonts w:cs="Times New Roman"/>
      <w:i/>
      <w:sz w:val="24"/>
      <w:szCs w:val="24"/>
    </w:rPr>
  </w:style>
  <w:style w:type="paragraph" w:styleId="37">
    <w:name w:val="Intense Quote"/>
    <w:basedOn w:val="1"/>
    <w:next w:val="1"/>
    <w:link w:val="38"/>
    <w:qFormat/>
    <w:uiPriority w:val="99"/>
    <w:pPr>
      <w:widowControl/>
      <w:ind w:left="720" w:right="720"/>
      <w:jc w:val="left"/>
    </w:pPr>
    <w:rPr>
      <w:rFonts w:ascii="Calibri" w:hAnsi="Calibri"/>
      <w:b/>
      <w:i/>
      <w:kern w:val="0"/>
      <w:sz w:val="24"/>
      <w:szCs w:val="22"/>
    </w:rPr>
  </w:style>
  <w:style w:type="character" w:customStyle="1" w:styleId="38">
    <w:name w:val="Intense Quote Char"/>
    <w:basedOn w:val="18"/>
    <w:link w:val="37"/>
    <w:qFormat/>
    <w:locked/>
    <w:uiPriority w:val="99"/>
    <w:rPr>
      <w:rFonts w:cs="Times New Roman"/>
      <w:b/>
      <w:i/>
      <w:sz w:val="24"/>
    </w:rPr>
  </w:style>
  <w:style w:type="character" w:customStyle="1" w:styleId="39">
    <w:name w:val="Subtle Emphasis"/>
    <w:basedOn w:val="18"/>
    <w:qFormat/>
    <w:uiPriority w:val="99"/>
    <w:rPr>
      <w:rFonts w:cs="Times New Roman"/>
      <w:i/>
      <w:color w:val="5A5A5A"/>
    </w:rPr>
  </w:style>
  <w:style w:type="character" w:customStyle="1" w:styleId="40">
    <w:name w:val="Intense Emphasis"/>
    <w:basedOn w:val="18"/>
    <w:qFormat/>
    <w:uiPriority w:val="99"/>
    <w:rPr>
      <w:rFonts w:cs="Times New Roman"/>
      <w:b/>
      <w:i/>
      <w:sz w:val="24"/>
      <w:szCs w:val="24"/>
      <w:u w:val="single"/>
    </w:rPr>
  </w:style>
  <w:style w:type="character" w:customStyle="1" w:styleId="41">
    <w:name w:val="Subtle Reference"/>
    <w:basedOn w:val="18"/>
    <w:qFormat/>
    <w:uiPriority w:val="99"/>
    <w:rPr>
      <w:rFonts w:cs="Times New Roman"/>
      <w:sz w:val="24"/>
      <w:szCs w:val="24"/>
      <w:u w:val="single"/>
    </w:rPr>
  </w:style>
  <w:style w:type="character" w:customStyle="1" w:styleId="42">
    <w:name w:val="Intense Reference"/>
    <w:basedOn w:val="18"/>
    <w:qFormat/>
    <w:uiPriority w:val="99"/>
    <w:rPr>
      <w:rFonts w:cs="Times New Roman"/>
      <w:b/>
      <w:sz w:val="24"/>
      <w:u w:val="single"/>
    </w:rPr>
  </w:style>
  <w:style w:type="character" w:customStyle="1" w:styleId="43">
    <w:name w:val="Book Title"/>
    <w:basedOn w:val="18"/>
    <w:qFormat/>
    <w:uiPriority w:val="99"/>
    <w:rPr>
      <w:rFonts w:ascii="Cambria" w:hAnsi="Cambria" w:eastAsia="宋体" w:cs="Times New Roman"/>
      <w:b/>
      <w:i/>
      <w:sz w:val="24"/>
      <w:szCs w:val="24"/>
    </w:rPr>
  </w:style>
  <w:style w:type="paragraph" w:customStyle="1" w:styleId="44">
    <w:name w:val="TOC Heading"/>
    <w:basedOn w:val="2"/>
    <w:next w:val="1"/>
    <w:qFormat/>
    <w:uiPriority w:val="99"/>
    <w:pPr>
      <w:outlineLvl w:val="9"/>
    </w:pPr>
    <w:rPr>
      <w:lang w:eastAsia="en-US"/>
    </w:rPr>
  </w:style>
  <w:style w:type="character" w:customStyle="1" w:styleId="45">
    <w:name w:val="Header Char"/>
    <w:basedOn w:val="18"/>
    <w:link w:val="14"/>
    <w:qFormat/>
    <w:locked/>
    <w:uiPriority w:val="99"/>
    <w:rPr>
      <w:rFonts w:ascii="Calibri" w:hAnsi="Calibri" w:eastAsia="宋体" w:cs="Times New Roman"/>
      <w:kern w:val="2"/>
      <w:sz w:val="18"/>
      <w:szCs w:val="18"/>
    </w:rPr>
  </w:style>
  <w:style w:type="character" w:customStyle="1" w:styleId="46">
    <w:name w:val="Footer Char"/>
    <w:basedOn w:val="18"/>
    <w:link w:val="13"/>
    <w:locked/>
    <w:uiPriority w:val="99"/>
    <w:rPr>
      <w:rFonts w:ascii="Calibri" w:hAnsi="Calibri" w:eastAsia="宋体" w:cs="Times New Roman"/>
      <w:kern w:val="2"/>
      <w:sz w:val="18"/>
      <w:szCs w:val="18"/>
    </w:rPr>
  </w:style>
  <w:style w:type="character" w:customStyle="1" w:styleId="47">
    <w:name w:val="Document Map Char"/>
    <w:basedOn w:val="18"/>
    <w:link w:val="11"/>
    <w:semiHidden/>
    <w:locked/>
    <w:uiPriority w:val="99"/>
    <w:rPr>
      <w:rFonts w:ascii="宋体" w:hAnsi="Times New Roman" w:eastAsia="宋体" w:cs="Times New Roman"/>
      <w:kern w:val="2"/>
      <w:sz w:val="18"/>
      <w:szCs w:val="18"/>
    </w:rPr>
  </w:style>
  <w:style w:type="character" w:customStyle="1" w:styleId="48">
    <w:name w:val="Balloon Text Char"/>
    <w:basedOn w:val="18"/>
    <w:link w:val="12"/>
    <w:semiHidden/>
    <w:locked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5</Pages>
  <Words>286</Words>
  <Characters>1631</Characters>
  <Lines>0</Lines>
  <Paragraphs>0</Paragraphs>
  <TotalTime>163</TotalTime>
  <ScaleCrop>false</ScaleCrop>
  <LinksUpToDate>false</LinksUpToDate>
  <CharactersWithSpaces>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2018-12-17T10:14:00Z</dcterms:created>
  <dc:creator>赵 恺（预算处）</dc:creator>
  <cp:lastModifiedBy>Administrator</cp:lastModifiedBy>
  <cp:lastPrinted>2018-12-17T10:15:00Z</cp:lastPrinted>
  <dcterms:modified xsi:type="dcterms:W3CDTF">2019-10-22T09:58:08Z</dcterms:modified>
  <cp:revision>169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