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2018年度新疆维吾尔自治区喀什地区工商行政管理局</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1、贯彻执行国家和自治区有关工商行政管理的政策及法律、法规，拟定本地区有关工商行政管理规范性文件、具体措施并组织实施。</w:t>
      </w:r>
      <w:r>
        <w:rPr>
          <w:rFonts w:ascii="仿宋_GB2312" w:eastAsia="仿宋_GB2312" w:hint="eastAsia"/>
          <w:sz w:val="32"/>
          <w:szCs w:val="32"/>
        </w:rPr>
        <w:br/>
        <w:t xml:space="preserve">    2、组织管理工商企业和从事经营活动的单位、个人的注册、核定注册单位名称，审定、批准、颁发有关证照并实行监督管理。</w:t>
      </w:r>
      <w:r>
        <w:rPr>
          <w:rFonts w:ascii="仿宋_GB2312" w:eastAsia="仿宋_GB2312" w:hint="eastAsia"/>
          <w:sz w:val="32"/>
          <w:szCs w:val="32"/>
        </w:rPr>
        <w:br/>
        <w:t xml:space="preserve">    3、组织监督市场交易行为，查处垄断、不正当竞争、走私贩私、传销和变相传销等经济违法行为。</w:t>
      </w:r>
      <w:r>
        <w:rPr>
          <w:rFonts w:ascii="仿宋_GB2312" w:eastAsia="仿宋_GB2312" w:hint="eastAsia"/>
          <w:sz w:val="32"/>
          <w:szCs w:val="32"/>
        </w:rPr>
        <w:br/>
      </w:r>
      <w:r>
        <w:rPr>
          <w:rFonts w:ascii="仿宋_GB2312" w:eastAsia="仿宋_GB2312" w:hint="eastAsia"/>
          <w:sz w:val="32"/>
          <w:szCs w:val="32"/>
        </w:rPr>
        <w:lastRenderedPageBreak/>
        <w:t xml:space="preserve">    4、组织监督市场交易行为，按规定组织监督检查流通领域商品质量，组织查处假冒伪劣等违法行为，保护经营者、消费者的合法权益。</w:t>
      </w:r>
      <w:r>
        <w:rPr>
          <w:rFonts w:ascii="仿宋_GB2312" w:eastAsia="仿宋_GB2312" w:hint="eastAsia"/>
          <w:sz w:val="32"/>
          <w:szCs w:val="32"/>
        </w:rPr>
        <w:br/>
        <w:t xml:space="preserve">    5、组织实施各类市场经营秩序的规范管理和监督，并对开办各类交易市场及商品展销会进行登记管理。</w:t>
      </w:r>
      <w:r>
        <w:rPr>
          <w:rFonts w:ascii="仿宋_GB2312" w:eastAsia="仿宋_GB2312" w:hint="eastAsia"/>
          <w:sz w:val="32"/>
          <w:szCs w:val="32"/>
        </w:rPr>
        <w:br/>
        <w:t xml:space="preserve">    6、组织监管经纪人、经纪机构。</w:t>
      </w:r>
      <w:r>
        <w:rPr>
          <w:rFonts w:ascii="仿宋_GB2312" w:eastAsia="仿宋_GB2312" w:hint="eastAsia"/>
          <w:sz w:val="32"/>
          <w:szCs w:val="32"/>
        </w:rPr>
        <w:br/>
        <w:t xml:space="preserve">    7、组织管理经济合同，组织查处合同欺诈行为，组织管理动产抵押物登记，组织监管拍卖行为。</w:t>
      </w:r>
      <w:r>
        <w:rPr>
          <w:rFonts w:ascii="仿宋_GB2312" w:eastAsia="仿宋_GB2312" w:hint="eastAsia"/>
          <w:sz w:val="32"/>
          <w:szCs w:val="32"/>
        </w:rPr>
        <w:br/>
        <w:t xml:space="preserve">    8、负责组织著名商标的推荐，保护商标专用权，组织查处商标侵权行为。</w:t>
      </w:r>
      <w:r>
        <w:rPr>
          <w:rFonts w:ascii="仿宋_GB2312" w:eastAsia="仿宋_GB2312" w:hint="eastAsia"/>
          <w:sz w:val="32"/>
          <w:szCs w:val="32"/>
        </w:rPr>
        <w:br/>
        <w:t xml:space="preserve">    9、组织管理广告发布和广告经营活动，查处违法行为。</w:t>
      </w:r>
      <w:r>
        <w:rPr>
          <w:rFonts w:ascii="仿宋_GB2312" w:eastAsia="仿宋_GB2312" w:hint="eastAsia"/>
          <w:sz w:val="32"/>
          <w:szCs w:val="32"/>
        </w:rPr>
        <w:br/>
        <w:t xml:space="preserve">    10、组织管理个体工商户、个人合伙、个人独资和私营企业的经营行为。</w:t>
      </w:r>
      <w:r>
        <w:rPr>
          <w:rFonts w:ascii="仿宋_GB2312" w:eastAsia="仿宋_GB2312" w:hint="eastAsia"/>
          <w:sz w:val="32"/>
          <w:szCs w:val="32"/>
        </w:rPr>
        <w:br/>
        <w:t xml:space="preserve">    11、领导全地区12个县市的工商行政管理业务工作。</w:t>
      </w:r>
      <w:r>
        <w:rPr>
          <w:rFonts w:ascii="仿宋_GB2312" w:eastAsia="仿宋_GB2312" w:hint="eastAsia"/>
          <w:sz w:val="32"/>
          <w:szCs w:val="32"/>
        </w:rPr>
        <w:br/>
        <w:t xml:space="preserve">    12、承办自治区工商行政管理局、喀什地区行政公署交办的其他事项。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新疆维吾尔自治区喀什地区工商行政管理局</w:t>
      </w:r>
      <w:r>
        <w:rPr>
          <w:rFonts w:ascii="仿宋_GB2312" w:eastAsia="仿宋_GB2312" w:hint="eastAsia"/>
          <w:sz w:val="32"/>
          <w:szCs w:val="32"/>
        </w:rPr>
        <w:t>部门决算包括：</w:t>
      </w:r>
      <w:r>
        <w:rPr>
          <w:rFonts w:ascii="仿宋_GB2312" w:eastAsia="仿宋_GB2312"/>
          <w:sz w:val="32"/>
          <w:szCs w:val="32"/>
        </w:rPr>
        <w:t>新疆维吾尔自治区喀什地区工商行政管理局</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新疆维吾尔自治区喀什地区工商行政管理局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546928">
        <w:tc>
          <w:tcPr>
            <w:tcW w:w="3056" w:type="dxa"/>
          </w:tcPr>
          <w:p w:rsidR="00546928" w:rsidRDefault="00695735">
            <w:pPr>
              <w:spacing w:line="500" w:lineRule="exact"/>
              <w:ind w:firstLineChars="200" w:firstLine="640"/>
              <w:jc w:val="left"/>
            </w:pPr>
            <w:r>
              <w:rPr>
                <w:rFonts w:ascii="仿宋_GB2312" w:eastAsia="仿宋_GB2312"/>
                <w:position w:val="-1"/>
                <w:sz w:val="32"/>
              </w:rPr>
              <w:t>1</w:t>
            </w:r>
          </w:p>
        </w:tc>
        <w:tc>
          <w:tcPr>
            <w:tcW w:w="3870" w:type="dxa"/>
          </w:tcPr>
          <w:p w:rsidR="00546928" w:rsidRDefault="00695735">
            <w:pPr>
              <w:spacing w:line="500" w:lineRule="exact"/>
              <w:ind w:firstLineChars="200" w:firstLine="640"/>
              <w:jc w:val="left"/>
            </w:pPr>
            <w:r>
              <w:rPr>
                <w:rFonts w:ascii="仿宋_GB2312" w:eastAsia="仿宋_GB2312"/>
                <w:position w:val="-1"/>
                <w:sz w:val="32"/>
              </w:rPr>
              <w:t>新疆维吾尔自治区喀什地区工商行政管理局</w:t>
            </w:r>
          </w:p>
        </w:tc>
        <w:tc>
          <w:tcPr>
            <w:tcW w:w="2538" w:type="dxa"/>
            <w:vAlign w:val="center"/>
          </w:tcPr>
          <w:p w:rsidR="00546928" w:rsidRDefault="00546928" w:rsidP="002B6643">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48711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1,078.99</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，与上年相比，增加0.2万元，增长0.02%，增加的主要原因是：</w:t>
      </w:r>
      <w:r>
        <w:rPr>
          <w:rFonts w:ascii="仿宋_GB2312" w:eastAsia="仿宋_GB2312" w:hint="eastAsia"/>
          <w:color w:val="000000" w:themeColor="text1"/>
          <w:sz w:val="32"/>
          <w:szCs w:val="32"/>
        </w:rPr>
        <w:t>人员调资增资及工作经费的增加；</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1,078.99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，与上年相比，增加0.2万元，增长0.02%，增加的主要原因是：</w:t>
      </w:r>
      <w:r>
        <w:rPr>
          <w:rFonts w:ascii="仿宋_GB2312" w:eastAsia="仿宋_GB2312" w:hint="eastAsia"/>
          <w:color w:val="000000" w:themeColor="text1"/>
          <w:sz w:val="32"/>
          <w:szCs w:val="32"/>
        </w:rPr>
        <w:t>人员调资增资及工作经费的增加；</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8"/>
    </w:p>
    <w:p w:rsidR="00184AA3" w:rsidRDefault="00DB45E7" w:rsidP="0048711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1,078.99</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1,078.99</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况：本年收入年初预算数1,087.95万元</w:t>
      </w:r>
      <w:r>
        <w:rPr>
          <w:rFonts w:ascii="仿宋_GB2312" w:eastAsia="仿宋_GB2312" w:hint="eastAsia"/>
          <w:sz w:val="32"/>
          <w:szCs w:val="32"/>
        </w:rPr>
        <w:t>，决算数1,078.99万元</w:t>
      </w:r>
      <w:r>
        <w:rPr>
          <w:rFonts w:ascii="仿宋_GB2312" w:eastAsia="仿宋_GB2312"/>
          <w:sz w:val="32"/>
          <w:szCs w:val="32"/>
        </w:rPr>
        <w:t>，预决算差异率-0.82%，差异主要原因是:教育人员补助少发放6个月、年初预算综合治理奖未发放、年初预算补助经费未使用完。</w:t>
      </w:r>
      <w:bookmarkEnd w:id="15"/>
    </w:p>
    <w:p w:rsidR="00184AA3" w:rsidRDefault="00DB45E7" w:rsidP="0048711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lastRenderedPageBreak/>
        <w:t>本年支出合计</w:t>
      </w:r>
      <w:bookmarkEnd w:id="16"/>
      <w:r>
        <w:rPr>
          <w:rFonts w:ascii="仿宋_GB2312" w:eastAsia="仿宋_GB2312" w:hint="eastAsia"/>
          <w:sz w:val="32"/>
          <w:szCs w:val="32"/>
        </w:rPr>
        <w:t>1,078.99</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971.99</w:t>
      </w:r>
      <w:r>
        <w:rPr>
          <w:rFonts w:ascii="仿宋_GB2312" w:eastAsia="仿宋_GB2312" w:hint="eastAsia"/>
          <w:color w:val="000000" w:themeColor="text1"/>
          <w:sz w:val="32"/>
          <w:szCs w:val="32"/>
        </w:rPr>
        <w:t>万元，占</w:t>
      </w:r>
      <w:r>
        <w:rPr>
          <w:rFonts w:ascii="仿宋_GB2312" w:eastAsia="仿宋_GB2312" w:hint="eastAsia"/>
          <w:sz w:val="32"/>
          <w:szCs w:val="32"/>
        </w:rPr>
        <w:t>90.08%</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107</w:t>
      </w:r>
      <w:r>
        <w:rPr>
          <w:rFonts w:ascii="仿宋_GB2312" w:eastAsia="仿宋_GB2312" w:hint="eastAsia"/>
          <w:color w:val="000000" w:themeColor="text1"/>
          <w:sz w:val="32"/>
          <w:szCs w:val="32"/>
        </w:rPr>
        <w:t>万元，占</w:t>
      </w:r>
      <w:r>
        <w:rPr>
          <w:rFonts w:ascii="仿宋_GB2312" w:eastAsia="仿宋_GB2312" w:hint="eastAsia"/>
          <w:sz w:val="32"/>
          <w:szCs w:val="32"/>
        </w:rPr>
        <w:t>9.92%</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与年初预算数相比情况：本年支出年初预算数1,087.95万元，</w:t>
      </w:r>
      <w:r>
        <w:rPr>
          <w:rFonts w:ascii="仿宋_GB2312" w:eastAsia="仿宋_GB2312" w:hint="eastAsia"/>
          <w:sz w:val="32"/>
          <w:szCs w:val="32"/>
        </w:rPr>
        <w:t>决算数1,078.99万元</w:t>
      </w:r>
      <w:r>
        <w:rPr>
          <w:rFonts w:ascii="仿宋_GB2312" w:eastAsia="仿宋_GB2312"/>
          <w:sz w:val="32"/>
          <w:szCs w:val="32"/>
        </w:rPr>
        <w:t>，预决算差异率-0.82%，差异主要原因是:人员补助少发放6个月、年初预算综合治理奖未发放、年初预算补助经费未使用完。</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48711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1,078.99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，与上年相比，增加72.85万元，增长7.24%，增加的主要原因是：财政拨工作人员成员因公死亡1人抚恤金。</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1,078.99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，与上年相比，增加72.85万元，增长7.24%，增加的主要原因是：</w:t>
      </w:r>
      <w:r>
        <w:rPr>
          <w:rFonts w:ascii="仿宋_GB2312" w:eastAsia="仿宋_GB2312"/>
          <w:sz w:val="32"/>
          <w:szCs w:val="32"/>
        </w:rPr>
        <w:t>财政拨工作成员因公死亡1人抚恤金。</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971.99</w:t>
      </w:r>
      <w:r>
        <w:rPr>
          <w:rFonts w:ascii="仿宋_GB2312" w:eastAsia="仿宋_GB2312" w:hint="eastAsia"/>
          <w:color w:val="000000" w:themeColor="text1"/>
          <w:sz w:val="32"/>
          <w:szCs w:val="32"/>
        </w:rPr>
        <w:t>万元，项目支出</w:t>
      </w:r>
      <w:r>
        <w:rPr>
          <w:rFonts w:ascii="仿宋_GB2312" w:eastAsia="仿宋_GB2312" w:hint="eastAsia"/>
          <w:sz w:val="32"/>
          <w:szCs w:val="32"/>
        </w:rPr>
        <w:t>107</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sidR="0048711B">
        <w:rPr>
          <w:rFonts w:ascii="宋体" w:hAnsi="宋体" w:cs="宋体" w:hint="eastAsia"/>
          <w:sz w:val="32"/>
          <w:szCs w:val="32"/>
        </w:rPr>
        <w:t>与上年相比无变化</w:t>
      </w:r>
      <w:r>
        <w:rPr>
          <w:rFonts w:ascii="仿宋_GB2312" w:eastAsia="仿宋_GB2312" w:hint="eastAsia"/>
          <w:sz w:val="32"/>
          <w:szCs w:val="32"/>
        </w:rPr>
        <w:t>。</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1,087.95</w:t>
      </w:r>
      <w:r>
        <w:rPr>
          <w:rFonts w:ascii="仿宋_GB2312" w:eastAsia="仿宋_GB2312" w:hint="eastAsia"/>
          <w:color w:val="000000" w:themeColor="text1"/>
          <w:sz w:val="32"/>
          <w:szCs w:val="32"/>
        </w:rPr>
        <w:t>万元，决算数</w:t>
      </w:r>
      <w:r>
        <w:rPr>
          <w:rFonts w:ascii="仿宋_GB2312" w:eastAsia="仿宋_GB2312" w:hint="eastAsia"/>
          <w:sz w:val="32"/>
          <w:szCs w:val="32"/>
        </w:rPr>
        <w:t>1,078.99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，预决算差异率-0.82%，差异主要原因是:教育人员补助少发放6个月、年初预算综合治理奖未发放、年初预算补助经费未使用完。</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1,087.95</w:t>
      </w:r>
      <w:r>
        <w:rPr>
          <w:rFonts w:ascii="仿宋_GB2312" w:eastAsia="仿宋_GB2312" w:hint="eastAsia"/>
          <w:color w:val="000000" w:themeColor="text1"/>
          <w:sz w:val="32"/>
          <w:szCs w:val="32"/>
        </w:rPr>
        <w:t>万元，决算数</w:t>
      </w:r>
      <w:r>
        <w:rPr>
          <w:rFonts w:ascii="仿宋_GB2312" w:eastAsia="仿宋_GB2312" w:hint="eastAsia"/>
          <w:sz w:val="32"/>
          <w:szCs w:val="32"/>
        </w:rPr>
        <w:t>1,078.99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，预决算差异率-0.82%，差异主要原因是:人员补助少发放6个月、年初预算综合治理奖未发放、年初预算补助经费未使用完。</w:t>
      </w:r>
      <w:bookmarkEnd w:id="33"/>
    </w:p>
    <w:p w:rsidR="00184AA3" w:rsidRDefault="00DB45E7" w:rsidP="0048711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lastRenderedPageBreak/>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1,078.99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，与上年相比，增加72.85万元，增长7.24%，增加的主要原因是：本年度调资增加及因公死亡1人抚恤金。</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1,078.99</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，与上年相比，增加72.85万元，增长7.24%，增加的主要原因是：本年度公车运行费及其他商品服务支出均在单位日常公用中列支。</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住房保障支出52.07万元,一般公共服务支出892.12万元,教育支出6.24万元,其他支出47.94万元,社会保障和就业支出80.61万元。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工资福利支出813.47万元,商品和服务支出144.08万元,对个人和家庭的补助115.75万元,资本性支出5.69万元。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1,087.95</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1,078.99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，预决算差异率-0.82%，差异主要原因是:财政拨工作人员成员因公死亡1人抚恤金。</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1,087.95</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1,078.99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，预决算差异率-0.82%，差异主要原因是:财政拨工作人员成员因公死亡1人抚恤金。</w:t>
      </w:r>
      <w:bookmarkEnd w:id="43"/>
    </w:p>
    <w:p w:rsidR="00184AA3" w:rsidRDefault="00DB45E7" w:rsidP="0048711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，与上年相比，增加0万元，增长0%，主要原因是：无政府性基金预算财政拨款收入。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w:t>
      </w:r>
      <w:r>
        <w:rPr>
          <w:rFonts w:ascii="仿宋_GB2312" w:eastAsia="仿宋_GB2312" w:hint="eastAsia"/>
          <w:color w:val="000000" w:themeColor="text1"/>
          <w:sz w:val="32"/>
          <w:szCs w:val="32"/>
        </w:rPr>
        <w:lastRenderedPageBreak/>
        <w:t>（按类级科目公开）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无政府性基金预算财政拨款收入。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，预决算差异率0%，差异主要原因是:无政府性基金预算财政拨支出。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21</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，与上年相比，减少4.78万元，下降18.54%，减少的主要原因是：厉行节约，压减开支。</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21</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100%，与上年相比，减少4.42万元，下降17.39%，减少的主要原因是：</w:t>
      </w:r>
      <w:r w:rsidR="0054006F">
        <w:rPr>
          <w:rFonts w:ascii="仿宋_GB2312" w:eastAsia="仿宋_GB2312" w:hint="eastAsia"/>
          <w:sz w:val="32"/>
          <w:szCs w:val="32"/>
        </w:rPr>
        <w:t>主要原因是严格按照“三公经费”只减不增的要求执行，严控车辆运行维护费用支出导致的减少；</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0%，与上年相比，减少0.36万元，下降100%，减少的主要原因是：主要原因是严格按照“三公经费”只减不增的要求执行，压缩公务接待支出导致的减少。</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新疆维吾尔自治区喀什地区工商行政管理局</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w:t>
      </w:r>
      <w:r>
        <w:rPr>
          <w:rFonts w:ascii="仿宋_GB2312" w:eastAsia="仿宋_GB2312" w:hint="eastAsia"/>
          <w:color w:val="000000" w:themeColor="text1"/>
          <w:sz w:val="32"/>
          <w:szCs w:val="32"/>
        </w:rPr>
        <w:lastRenderedPageBreak/>
        <w:t>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21</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21</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汽车油料、维护费、保险费、过路费支出</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10</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新疆维吾尔自治区喀什地区工商行政管理局</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21</w:t>
      </w:r>
      <w:r>
        <w:rPr>
          <w:rFonts w:ascii="仿宋_GB2312" w:eastAsia="仿宋_GB2312" w:hint="eastAsia"/>
          <w:color w:val="000000" w:themeColor="text1"/>
          <w:sz w:val="32"/>
          <w:szCs w:val="32"/>
        </w:rPr>
        <w:t>万元，决算数21万元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w:t>
      </w:r>
      <w:bookmarkStart w:id="83" w:name="_GoBack"/>
      <w:bookmarkEnd w:id="83"/>
      <w:r>
        <w:rPr>
          <w:rFonts w:ascii="仿宋_GB2312" w:eastAsia="仿宋_GB2312" w:hAnsi="宋体" w:cs="宋体" w:hint="eastAsia"/>
          <w:color w:val="000000" w:themeColor="text1"/>
          <w:kern w:val="0"/>
          <w:sz w:val="32"/>
          <w:szCs w:val="32"/>
        </w:rPr>
        <w:t>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4" w:name="OLE_LINK88"/>
      <w:bookmarkStart w:id="85"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2B6643">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w:t>
      </w:r>
      <w:r w:rsidR="002B6643">
        <w:rPr>
          <w:rFonts w:ascii="仿宋_GB2312" w:eastAsia="仿宋_GB2312"/>
          <w:color w:val="000000" w:themeColor="text1"/>
          <w:sz w:val="32"/>
          <w:szCs w:val="32"/>
        </w:rPr>
        <w:t>差异</w:t>
      </w:r>
      <w:r>
        <w:rPr>
          <w:rFonts w:ascii="仿宋_GB2312" w:eastAsia="仿宋_GB2312"/>
          <w:color w:val="000000" w:themeColor="text1"/>
          <w:sz w:val="32"/>
          <w:szCs w:val="32"/>
        </w:rPr>
        <w:t>；</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2018年度新疆维吾尔自治区喀什地区工商行政管理局机关运行经费支出42.77万元，与上年相比，增加8.65万元，增长25.35%，增加的主要原因是：</w:t>
      </w:r>
      <w:r w:rsidR="00FE48DB">
        <w:rPr>
          <w:rFonts w:ascii="仿宋_GB2312" w:eastAsia="仿宋_GB2312" w:hint="eastAsia"/>
          <w:color w:val="000000" w:themeColor="text1"/>
          <w:sz w:val="32"/>
          <w:szCs w:val="32"/>
        </w:rPr>
        <w:t>本年度公车运行费及其他商品服务支出均在单位日常公用中列支。</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14.27</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w:t>
      </w:r>
      <w:r>
        <w:rPr>
          <w:rFonts w:ascii="仿宋_GB2312" w:eastAsia="仿宋_GB2312" w:hint="eastAsia"/>
          <w:color w:val="000000" w:themeColor="text1"/>
          <w:sz w:val="32"/>
          <w:szCs w:val="32"/>
        </w:rPr>
        <w:lastRenderedPageBreak/>
        <w:t>支出</w:t>
      </w:r>
      <w:bookmarkEnd w:id="89"/>
      <w:r>
        <w:rPr>
          <w:rFonts w:ascii="仿宋_GB2312" w:eastAsia="仿宋_GB2312" w:hint="eastAsia"/>
          <w:sz w:val="32"/>
          <w:szCs w:val="32"/>
        </w:rPr>
        <w:t>14.27</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48711B">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10</w:t>
      </w:r>
      <w:r>
        <w:rPr>
          <w:rFonts w:ascii="仿宋_GB2312" w:eastAsia="仿宋_GB2312" w:hint="eastAsia"/>
          <w:color w:val="000000" w:themeColor="text1"/>
          <w:sz w:val="32"/>
          <w:szCs w:val="32"/>
        </w:rPr>
        <w:t>辆，价值</w:t>
      </w:r>
      <w:r>
        <w:rPr>
          <w:rFonts w:ascii="仿宋_GB2312" w:eastAsia="仿宋_GB2312" w:hint="eastAsia"/>
          <w:sz w:val="32"/>
          <w:szCs w:val="32"/>
        </w:rPr>
        <w:t>292.73</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开展公务活动用车；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rsidP="0048711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我单位本年度项目共计4个，项目金额107万元，其中：工商行政管理专项50万元，消费者权益保护10万元，其他工商行政管理事务支出5万元，其他支出42万元。项目绩效目标100%完成。</w:t>
      </w:r>
    </w:p>
    <w:p w:rsidR="00546928" w:rsidRDefault="00695735">
      <w:pPr>
        <w:spacing w:line="540" w:lineRule="exact"/>
        <w:ind w:left="-1" w:right="-1" w:firstLine="646"/>
        <w:jc w:val="left"/>
      </w:pPr>
      <w:r>
        <w:rPr>
          <w:rFonts w:ascii="仿宋_GB2312" w:eastAsia="仿宋_GB2312" w:hAnsi="仿宋_GB2312" w:cs="仿宋_GB2312"/>
          <w:sz w:val="32"/>
        </w:rPr>
        <w:t>1、执法办案项目绩效自评综述：根据年初设定的绩效目标，该项目绩效自评得分为91.7分。项目全年预算数为50万元，执行数为50万元，完成预算的100%。主要产出和效果：规范事中事后监管，维护市场秩序持续加力。按照“放管结合”的要求，加强市场监管改革创新，实施“双随机、一公开”改革，加强信用监管，落实随机抽查，有效运用“全国一张网”实施事中事后监管。进一步加强了市场监管力度，安全消费环境得到进一步提升，挽回了消费者的经济损失，有效打击违法、保护合法经营，进一步整治和规范了市场</w:t>
      </w:r>
      <w:r>
        <w:rPr>
          <w:rFonts w:ascii="仿宋_GB2312" w:eastAsia="仿宋_GB2312" w:hAnsi="仿宋_GB2312" w:cs="仿宋_GB2312"/>
          <w:sz w:val="32"/>
        </w:rPr>
        <w:lastRenderedPageBreak/>
        <w:t>秩序。保护和改善民生，加大打击传销专项整治、打击制售假冒伪劣商品、净化广告市场、保护商标所有权、打击反不正当竞争、商业贿赂、行业垄断等。发现的问题及原因：项目进度还不能及时跟着预算资金执行，存在到年底突击执行预算的情况。原因是项目执行人调整较频繁，严格执行预算的意识不强。下一步改进措施：在以后的工作中，我们将加强对《预算法》的学习和项目执行人的管理，加大对项目执行的进度和力度，严格按照“经费跟着预算”走的理念，合理合规做好经费支出各项工作。</w:t>
      </w:r>
    </w:p>
    <w:p w:rsidR="00546928" w:rsidRDefault="00695735">
      <w:pPr>
        <w:spacing w:line="540" w:lineRule="exact"/>
        <w:ind w:left="-1" w:right="-1" w:firstLine="646"/>
        <w:jc w:val="left"/>
      </w:pPr>
      <w:r>
        <w:rPr>
          <w:rFonts w:ascii="仿宋_GB2312" w:eastAsia="仿宋_GB2312" w:hAnsi="仿宋_GB2312" w:cs="仿宋_GB2312"/>
          <w:sz w:val="32"/>
        </w:rPr>
        <w:t>2、消费维权项目绩效自评综述：根据年初设定的绩效目标，该项目绩效自评得分为87.7分。项目全年预算数为10万元，执行数为10万元，完成预算的100%。主要产出和效果：加强消费市场监管，创新消费维权机制，采取有效举措，强化消费理念教育，继续加强“大维权”长效机制建设，提升维权效能，挽回消费者的经济损失成效明显，提升了消费环境安全，提高消费者消费积极性。发现的问题及原因：项目进度还不能及时跟着预算资金执行，存在到年底突击执行预算的情况。原因是项目执行人调整较频繁，严格执行预算的意识不强。下一步改进措施：在以后的工作中，我们将加强对《预算法》的学习和项目执行人的管理，加大对项目执行的进度和力度，严格按照“经费跟着预算”走的理念，合理合规做好经费支出各项工作。</w:t>
      </w:r>
    </w:p>
    <w:p w:rsidR="00546928" w:rsidRDefault="00695735">
      <w:pPr>
        <w:spacing w:line="540" w:lineRule="exact"/>
        <w:ind w:left="-1" w:right="-1" w:firstLine="646"/>
        <w:jc w:val="left"/>
      </w:pPr>
      <w:r>
        <w:rPr>
          <w:rFonts w:ascii="仿宋_GB2312" w:eastAsia="仿宋_GB2312" w:hAnsi="仿宋_GB2312" w:cs="仿宋_GB2312"/>
          <w:sz w:val="32"/>
        </w:rPr>
        <w:t>3、维修项目绩效自评综述：根据年初设定的绩效目标，该项目绩效自评得分为83.3分。项目全年预算数为5万元，执行数为5万元，完成预算的100%。主要产出和效果：通过对办公楼管道、电路、</w:t>
      </w:r>
      <w:r>
        <w:rPr>
          <w:rFonts w:ascii="仿宋_GB2312" w:eastAsia="仿宋_GB2312" w:hAnsi="仿宋_GB2312" w:cs="仿宋_GB2312"/>
          <w:sz w:val="32"/>
        </w:rPr>
        <w:lastRenderedPageBreak/>
        <w:t>灯具、洁具更换维修，消除各种安全隐患。为单位干部职工创造安全舒适的工作环境。发现的问题及原因：项目进度还不能及时跟着预算资金执行，存在到年底突击执行预算的情况。原因是项目执行人调整较频繁，严格执行预算的意识不强。下一步改进措施：在以后的工作中，我们将加强对《预算法》的学习和项目执行人的管理，加大对项目执行的进度和力度，严格按照“经费跟着预算”走的理念，合理合规做好经费支出各项工作。</w:t>
      </w:r>
    </w:p>
    <w:p w:rsidR="00546928" w:rsidRDefault="00695735">
      <w:pPr>
        <w:spacing w:line="540" w:lineRule="exact"/>
        <w:ind w:left="-1" w:right="-1" w:firstLine="646"/>
        <w:jc w:val="left"/>
      </w:pPr>
      <w:r>
        <w:rPr>
          <w:rFonts w:ascii="仿宋_GB2312" w:eastAsia="仿宋_GB2312" w:hAnsi="仿宋_GB2312" w:cs="仿宋_GB2312"/>
          <w:sz w:val="32"/>
        </w:rPr>
        <w:t>4、工作经费项目绩效自评综述：根据年初设定的绩效目标，该项目绩效自评得分为83.3分。项目全年预算数为42万元，执行数为42万元，完成预算的100%。主要产出和效果：为困难群众办实事好事数量持续提升，当地困难群众生活状况得到有效提升，人民群众满意度、幸福感明显提高。发现的问题及原因：项目进度还不能及时跟着预算资金执行，存在到年底突击执行预算的情况。原因是项目执行人调整较频繁，严格执行预算的意识不强。下一步改进措施：在以后的工作中，我们将加强对《预算法》的学习和项目执行人的管理，加大对项目执行的进度和力度，严格按照“经费跟着预算”走的理念，合理合规做好经费支出各项工作。</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w:t>
      </w:r>
      <w:r>
        <w:rPr>
          <w:rFonts w:ascii="仿宋_GB2312" w:eastAsia="仿宋_GB2312" w:hint="eastAsia"/>
          <w:sz w:val="32"/>
          <w:szCs w:val="32"/>
        </w:rPr>
        <w:lastRenderedPageBreak/>
        <w:t>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w:t>
      </w:r>
      <w:r>
        <w:rPr>
          <w:rFonts w:ascii="仿宋_GB2312" w:eastAsia="仿宋_GB2312" w:hint="eastAsia"/>
          <w:sz w:val="32"/>
          <w:szCs w:val="32"/>
        </w:rPr>
        <w:lastRenderedPageBreak/>
        <w:t>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201（类）15（款）01（项）指：行政运行。201（类）15（款）04（项）指：工商行政管理专项。201（类）15（款）06（项）指：消费者权益保护。221（类）02（款）01（项）指：住房公积金。205（类）02（款）01（项）指：学前教育。229（类）99（款）01（项）指：其他支出。201（类）15（款）99（项）指：其他工商行政管理事务支出。208（类）05（款）05</w:t>
      </w:r>
      <w:r>
        <w:rPr>
          <w:rFonts w:ascii="仿宋_GB2312" w:eastAsia="仿宋_GB2312" w:hint="eastAsia"/>
          <w:sz w:val="32"/>
          <w:szCs w:val="32"/>
        </w:rPr>
        <w:lastRenderedPageBreak/>
        <w:t>（项）指：机关事业单位基本养老保险缴费支出。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48711B">
      <w:pPr>
        <w:spacing w:line="540" w:lineRule="exact"/>
        <w:ind w:firstLineChars="200" w:firstLine="648"/>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1E5" w:rsidRDefault="000A31E5" w:rsidP="00184AA3">
      <w:r>
        <w:separator/>
      </w:r>
    </w:p>
  </w:endnote>
  <w:endnote w:type="continuationSeparator" w:id="1">
    <w:p w:rsidR="000A31E5" w:rsidRDefault="000A31E5"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Arial Unicode MS"/>
    <w:panose1 w:val="02010609060101010101"/>
    <w:charset w:val="86"/>
    <w:family w:val="modern"/>
    <w:notTrueType/>
    <w:pitch w:val="fixed"/>
    <w:sig w:usb0="00000000"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SimSun-ExtB"/>
    <w:charset w:val="86"/>
    <w:family w:val="modern"/>
    <w:pitch w:val="default"/>
    <w:sig w:usb0="00000000" w:usb1="00000000" w:usb2="00000010" w:usb3="00000000" w:csb0="00040000" w:csb1="00000000"/>
  </w:font>
  <w:font w:name="楷体_GB2312">
    <w:altName w:val="Arial Unicode MS"/>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7B07E3">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7B07E3">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48711B">
      <w:rPr>
        <w:rStyle w:val="a8"/>
        <w:rFonts w:ascii="宋体" w:eastAsia="宋体" w:hAnsi="宋体"/>
        <w:noProof/>
        <w:sz w:val="28"/>
      </w:rPr>
      <w:t>- 5 -</w:t>
    </w:r>
    <w:r>
      <w:rPr>
        <w:rStyle w:val="a8"/>
        <w:rFonts w:ascii="宋体" w:eastAsia="宋体" w:hAnsi="宋体"/>
        <w:sz w:val="28"/>
      </w:rPr>
      <w:fldChar w:fldCharType="end"/>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1E5" w:rsidRDefault="000A31E5" w:rsidP="00184AA3">
      <w:r>
        <w:separator/>
      </w:r>
    </w:p>
  </w:footnote>
  <w:footnote w:type="continuationSeparator" w:id="1">
    <w:p w:rsidR="000A31E5" w:rsidRDefault="000A31E5"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0"/>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31E5"/>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B6643"/>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11B"/>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46928"/>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95735"/>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07E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15</Pages>
  <Words>1096</Words>
  <Characters>6250</Characters>
  <Application>Microsoft Office Word</Application>
  <DocSecurity>0</DocSecurity>
  <Lines>52</Lines>
  <Paragraphs>14</Paragraphs>
  <ScaleCrop>false</ScaleCrop>
  <Company/>
  <LinksUpToDate>false</LinksUpToDate>
  <CharactersWithSpaces>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818</cp:revision>
  <dcterms:created xsi:type="dcterms:W3CDTF">2019-05-30T09:42:00Z</dcterms:created>
  <dcterms:modified xsi:type="dcterms:W3CDTF">2021-05-25T08:52:00Z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