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2018年度新疆维吾尔自治区喀什地区质量技术监督局机关服务中心</w:t>
      </w:r>
      <w:r w:rsidR="00F703C3">
        <w:rPr>
          <w:rFonts w:ascii="方正小标宋_GBK" w:eastAsia="方正小标宋_GBK" w:hAnsi="宋体" w:hint="eastAsia"/>
          <w:sz w:val="44"/>
          <w:szCs w:val="44"/>
        </w:rPr>
        <w:t>部门</w:t>
      </w:r>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9B6CE5" w:rsidRDefault="00DB45E7" w:rsidP="009B6CE5">
      <w:pPr>
        <w:spacing w:line="500" w:lineRule="exact"/>
        <w:ind w:leftChars="304" w:left="638"/>
        <w:rPr>
          <w:rFonts w:ascii="仿宋_GB2312" w:eastAsia="仿宋_GB2312" w:hint="eastAsia"/>
          <w:sz w:val="32"/>
          <w:szCs w:val="32"/>
        </w:rPr>
      </w:pPr>
      <w:r>
        <w:rPr>
          <w:rFonts w:ascii="仿宋_GB2312" w:eastAsia="仿宋_GB2312" w:hint="eastAsia"/>
          <w:sz w:val="32"/>
          <w:szCs w:val="32"/>
        </w:rPr>
        <w:t>1、负责机关后勤管理和服务工作，制定相关工作制度和规定。         2、负责各类公用设施的维护和管理。</w:t>
      </w:r>
    </w:p>
    <w:p w:rsidR="00184AA3" w:rsidRDefault="00DB45E7" w:rsidP="009B6CE5">
      <w:pPr>
        <w:spacing w:line="500" w:lineRule="exact"/>
        <w:ind w:leftChars="304" w:left="638"/>
        <w:rPr>
          <w:rFonts w:ascii="黑体" w:eastAsia="黑体" w:hAnsi="黑体" w:cs="宋体"/>
          <w:bCs/>
          <w:kern w:val="0"/>
          <w:sz w:val="32"/>
          <w:szCs w:val="32"/>
        </w:rPr>
      </w:pPr>
      <w:r>
        <w:rPr>
          <w:rFonts w:ascii="仿宋_GB2312" w:eastAsia="仿宋_GB2312" w:hint="eastAsia"/>
          <w:sz w:val="32"/>
          <w:szCs w:val="32"/>
        </w:rPr>
        <w:t>3、负责办公用品、设备的采购和使用管理。</w:t>
      </w:r>
      <w:r w:rsidR="009B6CE5">
        <w:rPr>
          <w:rFonts w:ascii="仿宋_GB2312" w:eastAsia="仿宋_GB2312" w:hint="eastAsia"/>
          <w:sz w:val="32"/>
          <w:szCs w:val="32"/>
        </w:rPr>
        <w:br/>
      </w:r>
      <w:r>
        <w:rPr>
          <w:rFonts w:ascii="仿宋_GB2312" w:eastAsia="仿宋_GB2312" w:hint="eastAsia"/>
          <w:sz w:val="32"/>
          <w:szCs w:val="32"/>
        </w:rPr>
        <w:t>4、负责各种会议的会务工作和局机关的接待工作。</w:t>
      </w:r>
      <w:r w:rsidR="009B6CE5">
        <w:rPr>
          <w:rFonts w:ascii="仿宋_GB2312" w:eastAsia="仿宋_GB2312" w:hint="eastAsia"/>
          <w:sz w:val="32"/>
          <w:szCs w:val="32"/>
        </w:rPr>
        <w:br/>
      </w:r>
      <w:r>
        <w:rPr>
          <w:rFonts w:ascii="仿宋_GB2312" w:eastAsia="仿宋_GB2312" w:hint="eastAsia"/>
          <w:sz w:val="32"/>
          <w:szCs w:val="32"/>
        </w:rPr>
        <w:t>5、负责局机关车辆管理和用车调度。</w:t>
      </w:r>
      <w:r w:rsidR="009B6CE5">
        <w:rPr>
          <w:rFonts w:ascii="仿宋_GB2312" w:eastAsia="仿宋_GB2312" w:hint="eastAsia"/>
          <w:sz w:val="32"/>
          <w:szCs w:val="32"/>
        </w:rPr>
        <w:br/>
      </w:r>
      <w:r>
        <w:rPr>
          <w:rFonts w:ascii="仿宋_GB2312" w:eastAsia="仿宋_GB2312" w:hint="eastAsia"/>
          <w:sz w:val="32"/>
          <w:szCs w:val="32"/>
        </w:rPr>
        <w:t>6、负责机关办公区和生活区的综合治理、门卫值班、环境卫生等工作。</w:t>
      </w:r>
      <w:r>
        <w:rPr>
          <w:rFonts w:ascii="仿宋_GB2312" w:eastAsia="仿宋_GB2312" w:hint="eastAsia"/>
          <w:sz w:val="32"/>
          <w:szCs w:val="32"/>
        </w:rPr>
        <w:br/>
      </w:r>
      <w:r>
        <w:rPr>
          <w:rFonts w:ascii="仿宋_GB2312" w:eastAsia="仿宋_GB2312" w:hint="eastAsia"/>
          <w:sz w:val="32"/>
          <w:szCs w:val="32"/>
        </w:rPr>
        <w:lastRenderedPageBreak/>
        <w:t xml:space="preserve">7、负责机关综合治理、住房、物业、户籍、车辆、水电、安全保卫、消防管理。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新疆维吾尔自治区喀什地区质量技术监督局机关服务中心</w:t>
      </w:r>
      <w:r>
        <w:rPr>
          <w:rFonts w:ascii="仿宋_GB2312" w:eastAsia="仿宋_GB2312" w:hint="eastAsia"/>
          <w:sz w:val="32"/>
          <w:szCs w:val="32"/>
        </w:rPr>
        <w:t>部门决算包括：</w:t>
      </w:r>
      <w:r>
        <w:rPr>
          <w:rFonts w:ascii="仿宋_GB2312" w:eastAsia="仿宋_GB2312"/>
          <w:sz w:val="32"/>
          <w:szCs w:val="32"/>
        </w:rPr>
        <w:t>新疆维吾尔自治区喀什地区质量技术监督局机关服务中心</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新疆维吾尔自治区喀什地区质量技术监督局机关服务中心</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84AA3">
        <w:trPr>
          <w:trHeight w:hRule="exact" w:val="510"/>
        </w:trPr>
        <w:tc>
          <w:tcPr>
            <w:tcW w:w="3056" w:type="dxa"/>
            <w:vAlign w:val="center"/>
          </w:tcPr>
          <w:p w:rsidR="00674542" w:rsidRDefault="005A2A05">
            <w:r>
              <w:t>序号</w:t>
            </w:r>
          </w:p>
        </w:tc>
        <w:tc>
          <w:tcPr>
            <w:tcW w:w="3870" w:type="dxa"/>
            <w:vAlign w:val="center"/>
          </w:tcPr>
          <w:p w:rsidR="00674542" w:rsidRDefault="005A2A05">
            <w:r>
              <w:t>单位名称</w:t>
            </w:r>
          </w:p>
        </w:tc>
        <w:tc>
          <w:tcPr>
            <w:tcW w:w="2538" w:type="dxa"/>
            <w:vAlign w:val="center"/>
          </w:tcPr>
          <w:p w:rsidR="00674542" w:rsidRDefault="005A2A05">
            <w:r>
              <w:t>备注</w:t>
            </w:r>
          </w:p>
        </w:tc>
      </w:tr>
      <w:tr w:rsidR="00674542">
        <w:tc>
          <w:tcPr>
            <w:tcW w:w="3056" w:type="dxa"/>
          </w:tcPr>
          <w:p w:rsidR="00674542" w:rsidRDefault="005A2A05">
            <w:r>
              <w:t>1</w:t>
            </w:r>
          </w:p>
        </w:tc>
        <w:tc>
          <w:tcPr>
            <w:tcW w:w="3870" w:type="dxa"/>
          </w:tcPr>
          <w:p w:rsidR="00674542" w:rsidRDefault="005A2A05">
            <w:r>
              <w:t>新疆维吾尔自治区喀什地区质量技术监督局机关服务中心</w:t>
            </w:r>
          </w:p>
        </w:tc>
        <w:tc>
          <w:tcPr>
            <w:tcW w:w="2538" w:type="dxa"/>
            <w:vAlign w:val="center"/>
          </w:tcPr>
          <w:p w:rsidR="00674542" w:rsidRDefault="00674542"/>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rsidP="009B6CE5">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68.33</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，与上年相比，增加0.74万元，增长1.09%，增加的主要原因是：</w:t>
      </w:r>
      <w:r>
        <w:rPr>
          <w:rFonts w:ascii="仿宋_GB2312" w:eastAsia="仿宋_GB2312" w:hint="eastAsia"/>
          <w:color w:val="000000" w:themeColor="text1"/>
          <w:sz w:val="32"/>
          <w:szCs w:val="32"/>
        </w:rPr>
        <w:t>人员增加基本工资和艰边津贴所致；</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68.33</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，与上年相比，增加0.74万元，增长1.09%，增加的主要原因是：</w:t>
      </w:r>
      <w:r>
        <w:rPr>
          <w:rFonts w:ascii="仿宋_GB2312" w:eastAsia="仿宋_GB2312" w:hint="eastAsia"/>
          <w:color w:val="000000" w:themeColor="text1"/>
          <w:sz w:val="32"/>
          <w:szCs w:val="32"/>
        </w:rPr>
        <w:t>人员增加基本工资和艰边津贴所致；</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color w:val="000000" w:themeColor="text1"/>
          <w:sz w:val="32"/>
          <w:szCs w:val="32"/>
        </w:rPr>
        <w:t>无变化。</w:t>
      </w:r>
      <w:bookmarkEnd w:id="8"/>
    </w:p>
    <w:p w:rsidR="00184AA3" w:rsidRDefault="00DB45E7" w:rsidP="009B6CE5">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本年收入合计</w:t>
      </w:r>
      <w:r>
        <w:rPr>
          <w:rFonts w:ascii="仿宋_GB2312" w:eastAsia="仿宋_GB2312" w:hint="eastAsia"/>
          <w:sz w:val="32"/>
          <w:szCs w:val="32"/>
        </w:rPr>
        <w:t>68.33</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68.33</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况：本年收入年初预算数70.62万元</w:t>
      </w:r>
      <w:r>
        <w:rPr>
          <w:rFonts w:ascii="仿宋_GB2312" w:eastAsia="仿宋_GB2312" w:hint="eastAsia"/>
          <w:sz w:val="32"/>
          <w:szCs w:val="32"/>
        </w:rPr>
        <w:t>，决算数68.33万元</w:t>
      </w:r>
      <w:r>
        <w:rPr>
          <w:rFonts w:ascii="仿宋_GB2312" w:eastAsia="仿宋_GB2312"/>
          <w:sz w:val="32"/>
          <w:szCs w:val="32"/>
        </w:rPr>
        <w:t>，预决算差异率-3.24%，差异主要原因是:我单位一人长期病假，按照规定发放60%工资及不发放年终奖所致。</w:t>
      </w:r>
      <w:bookmarkEnd w:id="15"/>
    </w:p>
    <w:p w:rsidR="00184AA3" w:rsidRDefault="00DB45E7" w:rsidP="009B6CE5">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68.33</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68.33</w:t>
      </w:r>
      <w:r>
        <w:rPr>
          <w:rFonts w:ascii="仿宋_GB2312" w:eastAsia="仿宋_GB2312" w:hint="eastAsia"/>
          <w:color w:val="000000" w:themeColor="text1"/>
          <w:sz w:val="32"/>
          <w:szCs w:val="32"/>
        </w:rPr>
        <w:t>万元，占</w:t>
      </w:r>
      <w:r>
        <w:rPr>
          <w:rFonts w:ascii="仿宋_GB2312" w:eastAsia="仿宋_GB2312" w:hint="eastAsia"/>
          <w:sz w:val="32"/>
          <w:szCs w:val="32"/>
        </w:rPr>
        <w:t>100%</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与年初预算数相比情况：本年支出年初预算数70.62万元，</w:t>
      </w:r>
      <w:r>
        <w:rPr>
          <w:rFonts w:ascii="仿宋_GB2312" w:eastAsia="仿宋_GB2312" w:hint="eastAsia"/>
          <w:sz w:val="32"/>
          <w:szCs w:val="32"/>
        </w:rPr>
        <w:t>决算数68.33万元</w:t>
      </w:r>
      <w:r>
        <w:rPr>
          <w:rFonts w:ascii="仿宋_GB2312" w:eastAsia="仿宋_GB2312"/>
          <w:sz w:val="32"/>
          <w:szCs w:val="32"/>
        </w:rPr>
        <w:t>，预决算差异率-3.24%，差异主要原因是:我单位一人长期病假，按照规定发放60%工资及不发放年终奖所致。</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rsidP="009B6CE5">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68.33</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，与上年相比，增加6.74万元，增长10.94%，增加的主要原因是：人员增加基本工资、艰边津贴及相应的人员缴纳社保缴费、住房公积金等支出所致。</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68.33</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，与上年相比，增加6.74万元，增长10.94%，增加的主要原因是：</w:t>
      </w:r>
      <w:r>
        <w:rPr>
          <w:rFonts w:ascii="仿宋_GB2312" w:eastAsia="仿宋_GB2312"/>
          <w:sz w:val="32"/>
          <w:szCs w:val="32"/>
        </w:rPr>
        <w:t>人员增加基本工资、艰边津贴及相应的人员缴纳社保缴费、住房公积金等支出所致。</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68.33</w:t>
      </w:r>
      <w:r>
        <w:rPr>
          <w:rFonts w:ascii="仿宋_GB2312" w:eastAsia="仿宋_GB2312" w:hint="eastAsia"/>
          <w:color w:val="000000" w:themeColor="text1"/>
          <w:sz w:val="32"/>
          <w:szCs w:val="32"/>
        </w:rPr>
        <w:t>万元，项目支出</w:t>
      </w:r>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w:t>
      </w:r>
      <w:r>
        <w:rPr>
          <w:rFonts w:ascii="仿宋_GB2312" w:eastAsia="仿宋_GB2312" w:hint="eastAsia"/>
          <w:sz w:val="32"/>
          <w:szCs w:val="32"/>
        </w:rPr>
        <w:lastRenderedPageBreak/>
        <w:t>万元，增长0%，主要原因是：无变化。</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70.62</w:t>
      </w:r>
      <w:r>
        <w:rPr>
          <w:rFonts w:ascii="仿宋_GB2312" w:eastAsia="仿宋_GB2312" w:hint="eastAsia"/>
          <w:color w:val="000000" w:themeColor="text1"/>
          <w:sz w:val="32"/>
          <w:szCs w:val="32"/>
        </w:rPr>
        <w:t>万元，决算数</w:t>
      </w:r>
      <w:r>
        <w:rPr>
          <w:rFonts w:ascii="仿宋_GB2312" w:eastAsia="仿宋_GB2312" w:hint="eastAsia"/>
          <w:sz w:val="32"/>
          <w:szCs w:val="32"/>
        </w:rPr>
        <w:t>68.33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，预决算差异率-3.24%，差异主要原因是:我单位一人长期病假，按照规定发放60%工资及不发放年终奖所致。</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70.62</w:t>
      </w:r>
      <w:r>
        <w:rPr>
          <w:rFonts w:ascii="仿宋_GB2312" w:eastAsia="仿宋_GB2312" w:hint="eastAsia"/>
          <w:color w:val="000000" w:themeColor="text1"/>
          <w:sz w:val="32"/>
          <w:szCs w:val="32"/>
        </w:rPr>
        <w:t>万元，决算数</w:t>
      </w:r>
      <w:r>
        <w:rPr>
          <w:rFonts w:ascii="仿宋_GB2312" w:eastAsia="仿宋_GB2312" w:hint="eastAsia"/>
          <w:sz w:val="32"/>
          <w:szCs w:val="32"/>
        </w:rPr>
        <w:t>68.33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，预决算差异率-3.24%，差异主要原因是:我单位一人长期病假，按照规定发放60%工资及不发放年终奖所致。</w:t>
      </w:r>
      <w:bookmarkEnd w:id="33"/>
    </w:p>
    <w:p w:rsidR="00184AA3" w:rsidRDefault="00DB45E7" w:rsidP="009B6CE5">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68.33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，与上年相比，增加6.74万元，增长10.94%，增加的主要原因是：人员增加基本工资、艰边津贴及相应的人员缴纳社保缴费、住房公积金等支出所致。</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68.33</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，与上年相比，增加6.74万元，增长10.94%，增加的主要原因是：人员增加基本工资、艰边津贴及相应的人员缴纳社保缴费、住房公积金等支出所致。</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住房保障支出4.68万元,一般公共服务支出56.55万元,社会保障和就业支出7.11万元。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工资福利支出58.14万元,商品和服务支出2.62万元,对个人和家庭的补助7.57万元。</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70.62</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68.33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，预决算差异率-3.24%，差异主要原因是:我单位一人长期病假，按照规定发放60%工资及不发放年终奖所致。</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70.62</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68.33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，预决算差异率-3.24%，差异主要原因是:我单位一</w:t>
      </w:r>
      <w:r>
        <w:rPr>
          <w:rFonts w:ascii="仿宋_GB2312" w:eastAsia="仿宋_GB2312"/>
          <w:color w:val="000000" w:themeColor="text1"/>
          <w:sz w:val="32"/>
          <w:szCs w:val="32"/>
        </w:rPr>
        <w:lastRenderedPageBreak/>
        <w:t>人长期病假，按照规定发放60%工资及不发放年终奖所致。</w:t>
      </w:r>
      <w:bookmarkEnd w:id="43"/>
    </w:p>
    <w:p w:rsidR="00184AA3" w:rsidRDefault="00DB45E7" w:rsidP="009B6CE5">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，与上年相比，增加0万元，增长0%，主要原因是：无政府性基金收入。</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，与上年相比，增加0万元，增长0%，主要原因是：无政府性基金支出。</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1.3</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，与上年相比，增加0.01万元，增长0.78%，增加的主要原因是：车辆费用增加。</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0%，与上年相比，增加0万元，增长0%，主要原因是：无变化；</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1.3</w:t>
      </w:r>
      <w:r>
        <w:rPr>
          <w:rFonts w:ascii="仿宋_GB2312" w:eastAsia="仿宋_GB2312" w:hint="eastAsia"/>
          <w:color w:val="000000" w:themeColor="text1"/>
          <w:sz w:val="32"/>
          <w:szCs w:val="32"/>
        </w:rPr>
        <w:t>万元，占</w:t>
      </w:r>
      <w:r>
        <w:rPr>
          <w:rFonts w:ascii="仿宋_GB2312" w:eastAsia="仿宋_GB2312" w:hint="eastAsia"/>
          <w:sz w:val="32"/>
          <w:szCs w:val="32"/>
        </w:rPr>
        <w:t>100%，与上年相比，增加0.01万元，增长0.78%，增加的主要原因是：</w:t>
      </w:r>
      <w:r w:rsidR="0054006F">
        <w:rPr>
          <w:rFonts w:ascii="仿宋_GB2312" w:eastAsia="仿宋_GB2312" w:hint="eastAsia"/>
          <w:sz w:val="32"/>
          <w:szCs w:val="32"/>
        </w:rPr>
        <w:t>车辆老化，费用增加；</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w:t>
      </w:r>
      <w:r>
        <w:rPr>
          <w:rFonts w:ascii="仿宋_GB2312" w:eastAsia="仿宋_GB2312" w:hint="eastAsia"/>
          <w:color w:val="000000" w:themeColor="text1"/>
          <w:sz w:val="32"/>
          <w:szCs w:val="32"/>
        </w:rPr>
        <w:lastRenderedPageBreak/>
        <w:t>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0%，与上年相比，增加0万元，增长0%，主要原因是：无公务接待费。</w:t>
      </w:r>
      <w:bookmarkEnd w:id="63"/>
      <w:bookmarkEnd w:id="64"/>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5" w:name="OLE_LINK80"/>
      <w:bookmarkStart w:id="66"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新疆维吾尔自治区喀什地区质量技术监督局机关服务中心</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rsidR="00184AA3" w:rsidRDefault="00DB45E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1.3</w:t>
      </w:r>
      <w:r>
        <w:rPr>
          <w:rFonts w:ascii="仿宋_GB2312" w:eastAsia="仿宋_GB2312" w:hint="eastAsia"/>
          <w:color w:val="000000" w:themeColor="text1"/>
          <w:sz w:val="32"/>
          <w:szCs w:val="32"/>
        </w:rPr>
        <w:t>万元,其中，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1.3</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汽车油料、保险、维护费、过路费、停车费</w:t>
      </w:r>
      <w:r>
        <w:rPr>
          <w:rFonts w:ascii="仿宋_GB2312" w:eastAsia="仿宋_GB2312" w:hint="eastAsia"/>
          <w:color w:val="000000" w:themeColor="text1"/>
          <w:sz w:val="32"/>
          <w:szCs w:val="32"/>
        </w:rPr>
        <w:t>等。</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1</w:t>
      </w:r>
      <w:r>
        <w:rPr>
          <w:rFonts w:ascii="仿宋_GB2312" w:eastAsia="仿宋_GB2312" w:hint="eastAsia"/>
          <w:color w:val="000000" w:themeColor="text1"/>
          <w:sz w:val="32"/>
          <w:szCs w:val="32"/>
        </w:rPr>
        <w:t>辆。</w:t>
      </w:r>
      <w:bookmarkEnd w:id="77"/>
    </w:p>
    <w:p w:rsidR="00184AA3" w:rsidRDefault="00DB45E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新疆维吾尔自治区喀什地区质量技术监督局机关服务中心</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1.3</w:t>
      </w:r>
      <w:r>
        <w:rPr>
          <w:rFonts w:ascii="仿宋_GB2312" w:eastAsia="仿宋_GB2312" w:hint="eastAsia"/>
          <w:color w:val="000000" w:themeColor="text1"/>
          <w:sz w:val="32"/>
          <w:szCs w:val="32"/>
        </w:rPr>
        <w:t>万元，决算数1.3万元</w:t>
      </w:r>
      <w:r>
        <w:rPr>
          <w:rFonts w:ascii="仿宋_GB2312" w:eastAsia="仿宋_GB2312"/>
          <w:color w:val="000000" w:themeColor="text1"/>
          <w:sz w:val="32"/>
          <w:szCs w:val="32"/>
        </w:rPr>
        <w:t>，预决算差异率0%，差异主要原因是:无差异。</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Start w:id="83" w:name="OLE_LINK88"/>
      <w:bookmarkStart w:id="84"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w:t>
      </w:r>
      <w:r w:rsidR="002C7A67">
        <w:rPr>
          <w:rFonts w:ascii="仿宋_GB2312" w:eastAsia="仿宋_GB2312"/>
          <w:color w:val="000000" w:themeColor="text1"/>
          <w:sz w:val="32"/>
          <w:szCs w:val="32"/>
        </w:rPr>
        <w:t>差异</w:t>
      </w:r>
      <w:r>
        <w:rPr>
          <w:rFonts w:ascii="仿宋_GB2312" w:eastAsia="仿宋_GB2312"/>
          <w:color w:val="000000" w:themeColor="text1"/>
          <w:sz w:val="32"/>
          <w:szCs w:val="32"/>
        </w:rPr>
        <w:t>；</w:t>
      </w:r>
      <w:bookmarkStart w:id="85" w:name="OLE_LINK90"/>
      <w:bookmarkEnd w:id="83"/>
      <w:bookmarkEnd w:id="84"/>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1.3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w:t>
      </w:r>
      <w:r w:rsidR="002C7A67">
        <w:rPr>
          <w:rFonts w:ascii="仿宋_GB2312" w:eastAsia="仿宋_GB2312"/>
          <w:color w:val="000000" w:themeColor="text1"/>
          <w:sz w:val="32"/>
          <w:szCs w:val="32"/>
        </w:rPr>
        <w:t>差异</w:t>
      </w:r>
      <w:bookmarkStart w:id="86" w:name="_GoBack"/>
      <w:bookmarkEnd w:id="86"/>
      <w:r>
        <w:rPr>
          <w:rFonts w:ascii="仿宋_GB2312" w:eastAsia="仿宋_GB2312"/>
          <w:color w:val="000000" w:themeColor="text1"/>
          <w:sz w:val="32"/>
          <w:szCs w:val="32"/>
        </w:rPr>
        <w:t>；</w:t>
      </w:r>
      <w:bookmarkStart w:id="87" w:name="OLE_LINK91"/>
      <w:bookmarkEnd w:id="85"/>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无公务接待费。</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新疆维吾尔自治区喀什地区质量技术监督局机关服务中心日常</w:t>
      </w:r>
      <w:r>
        <w:rPr>
          <w:rFonts w:ascii="仿宋_GB2312" w:eastAsia="仿宋_GB2312" w:hint="eastAsia"/>
          <w:color w:val="000000" w:themeColor="text1"/>
          <w:sz w:val="32"/>
          <w:szCs w:val="32"/>
        </w:rPr>
        <w:lastRenderedPageBreak/>
        <w:t>公用经费2.62万元，与上年相比，增加0.2万元，增长8.26%，增加的主要原因是：</w:t>
      </w:r>
      <w:r w:rsidR="00FE48DB">
        <w:rPr>
          <w:rFonts w:ascii="仿宋_GB2312" w:eastAsia="仿宋_GB2312" w:hint="eastAsia"/>
          <w:color w:val="000000" w:themeColor="text1"/>
          <w:sz w:val="32"/>
          <w:szCs w:val="32"/>
        </w:rPr>
        <w:t>2018年度增加工作经费。</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0</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rsidP="009B6CE5">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w:t>
      </w:r>
      <w:r>
        <w:rPr>
          <w:rFonts w:ascii="仿宋_GB2312" w:eastAsia="仿宋_GB2312" w:hint="eastAsia"/>
          <w:color w:val="000000" w:themeColor="text1"/>
          <w:sz w:val="32"/>
          <w:szCs w:val="32"/>
        </w:rPr>
        <w:t>辆，价值</w:t>
      </w:r>
      <w:r>
        <w:rPr>
          <w:rFonts w:ascii="仿宋_GB2312" w:eastAsia="仿宋_GB2312" w:hint="eastAsia"/>
          <w:sz w:val="32"/>
          <w:szCs w:val="32"/>
        </w:rPr>
        <w:t>19.58</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开展公务活动用车；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2"/>
    </w:p>
    <w:p w:rsidR="00184AA3" w:rsidRDefault="00DB45E7" w:rsidP="009B6CE5">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本单位无有关预算绩效管理和绩效自评开展情况。</w:t>
      </w:r>
    </w:p>
    <w:p w:rsidR="00862CEF" w:rsidRDefault="00862CEF" w:rsidP="00862CEF">
      <w:pPr>
        <w:spacing w:line="540" w:lineRule="exact"/>
        <w:ind w:firstLineChars="100" w:firstLine="320"/>
        <w:rPr>
          <w:rFonts w:ascii="仿宋_GB2312" w:eastAsia="仿宋_GB2312"/>
          <w:sz w:val="32"/>
          <w:szCs w:val="32"/>
        </w:rPr>
      </w:pPr>
    </w:p>
    <w:p w:rsidR="00B4203A" w:rsidRDefault="00DB45E7" w:rsidP="000711BA">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221（类）02（款）01（项）指：住房公积金。201（类）17（款）50（项）指：事业运行。208（类）05（款）05（项）指：机关事业单位基本养老保险缴费支出。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rsidP="009B6CE5">
      <w:pPr>
        <w:spacing w:line="540" w:lineRule="exact"/>
        <w:ind w:firstLineChars="200" w:firstLine="643"/>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A05" w:rsidRDefault="005A2A05" w:rsidP="00184AA3">
      <w:r>
        <w:separator/>
      </w:r>
    </w:p>
  </w:endnote>
  <w:endnote w:type="continuationSeparator" w:id="0">
    <w:p w:rsidR="005A2A05" w:rsidRDefault="005A2A05" w:rsidP="0018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0A7155">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0A7155">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2C7A67">
      <w:rPr>
        <w:rStyle w:val="a8"/>
        <w:rFonts w:ascii="宋体" w:eastAsia="宋体" w:hAnsi="宋体"/>
        <w:noProof/>
        <w:sz w:val="28"/>
      </w:rPr>
      <w:t>- 6 -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A05" w:rsidRDefault="005A2A05" w:rsidP="00184AA3">
      <w:r>
        <w:separator/>
      </w:r>
    </w:p>
  </w:footnote>
  <w:footnote w:type="continuationSeparator" w:id="0">
    <w:p w:rsidR="005A2A05" w:rsidRDefault="005A2A05" w:rsidP="00184A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cumentProtection w:edit="comments" w:enforcement="1" w:cryptProviderType="rsaFull" w:cryptAlgorithmClass="hash" w:cryptAlgorithmType="typeAny" w:cryptAlgorithmSid="4" w:cryptSpinCount="100000" w:hash="ldBd2x/cGHlDllwfWHFKS68ynr4=" w:salt="ytpysWw8qOk30uOglY1B4g=="/>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15A64"/>
    <w:rsid w:val="0002118A"/>
    <w:rsid w:val="00021887"/>
    <w:rsid w:val="00022242"/>
    <w:rsid w:val="00023F6E"/>
    <w:rsid w:val="0002523E"/>
    <w:rsid w:val="00025DC3"/>
    <w:rsid w:val="00040E57"/>
    <w:rsid w:val="00044097"/>
    <w:rsid w:val="00050E1F"/>
    <w:rsid w:val="00054305"/>
    <w:rsid w:val="0005566C"/>
    <w:rsid w:val="00060E28"/>
    <w:rsid w:val="0006121E"/>
    <w:rsid w:val="000635BD"/>
    <w:rsid w:val="00065838"/>
    <w:rsid w:val="000711BA"/>
    <w:rsid w:val="00080DEB"/>
    <w:rsid w:val="00083BBE"/>
    <w:rsid w:val="00083EBE"/>
    <w:rsid w:val="00091B9F"/>
    <w:rsid w:val="0009640E"/>
    <w:rsid w:val="000A2EE8"/>
    <w:rsid w:val="000A497E"/>
    <w:rsid w:val="000A7155"/>
    <w:rsid w:val="000A7773"/>
    <w:rsid w:val="000B08C5"/>
    <w:rsid w:val="000B206D"/>
    <w:rsid w:val="000B2C8D"/>
    <w:rsid w:val="000B6AD4"/>
    <w:rsid w:val="000B6C14"/>
    <w:rsid w:val="000B7C75"/>
    <w:rsid w:val="000C0190"/>
    <w:rsid w:val="000C1474"/>
    <w:rsid w:val="000C7811"/>
    <w:rsid w:val="000D21F9"/>
    <w:rsid w:val="000E0AB3"/>
    <w:rsid w:val="000E21E6"/>
    <w:rsid w:val="000E65F1"/>
    <w:rsid w:val="000E73E7"/>
    <w:rsid w:val="000E75AE"/>
    <w:rsid w:val="000F1279"/>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5321"/>
    <w:rsid w:val="00157F86"/>
    <w:rsid w:val="00163D9F"/>
    <w:rsid w:val="00164EBC"/>
    <w:rsid w:val="001669CC"/>
    <w:rsid w:val="00166DAB"/>
    <w:rsid w:val="00166E4B"/>
    <w:rsid w:val="00167DB8"/>
    <w:rsid w:val="00170C1A"/>
    <w:rsid w:val="00171B68"/>
    <w:rsid w:val="00173DD7"/>
    <w:rsid w:val="001759CB"/>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4F2D"/>
    <w:rsid w:val="001C79E0"/>
    <w:rsid w:val="001D54E6"/>
    <w:rsid w:val="001D640A"/>
    <w:rsid w:val="001D65CB"/>
    <w:rsid w:val="001E197A"/>
    <w:rsid w:val="001E2962"/>
    <w:rsid w:val="001E6468"/>
    <w:rsid w:val="001E7F7F"/>
    <w:rsid w:val="001F0E21"/>
    <w:rsid w:val="001F1CB6"/>
    <w:rsid w:val="001F2FE9"/>
    <w:rsid w:val="001F3267"/>
    <w:rsid w:val="001F6948"/>
    <w:rsid w:val="0020033F"/>
    <w:rsid w:val="00200C57"/>
    <w:rsid w:val="00201CC4"/>
    <w:rsid w:val="00207AD5"/>
    <w:rsid w:val="0021204D"/>
    <w:rsid w:val="002127E3"/>
    <w:rsid w:val="002146E7"/>
    <w:rsid w:val="00216FD0"/>
    <w:rsid w:val="0022011C"/>
    <w:rsid w:val="00226DF0"/>
    <w:rsid w:val="00231C2E"/>
    <w:rsid w:val="00241293"/>
    <w:rsid w:val="00245135"/>
    <w:rsid w:val="002453A6"/>
    <w:rsid w:val="00247520"/>
    <w:rsid w:val="00251FC8"/>
    <w:rsid w:val="002546EA"/>
    <w:rsid w:val="00256471"/>
    <w:rsid w:val="00257943"/>
    <w:rsid w:val="002608FE"/>
    <w:rsid w:val="00271D59"/>
    <w:rsid w:val="0027418F"/>
    <w:rsid w:val="002767AD"/>
    <w:rsid w:val="00282470"/>
    <w:rsid w:val="00295B34"/>
    <w:rsid w:val="0029700A"/>
    <w:rsid w:val="002A7E48"/>
    <w:rsid w:val="002B1DA2"/>
    <w:rsid w:val="002B557B"/>
    <w:rsid w:val="002B5D8E"/>
    <w:rsid w:val="002C0FB9"/>
    <w:rsid w:val="002C4530"/>
    <w:rsid w:val="002C7A67"/>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2F47"/>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3234"/>
    <w:rsid w:val="003E4A05"/>
    <w:rsid w:val="003E5F5C"/>
    <w:rsid w:val="003E7D9E"/>
    <w:rsid w:val="003F37E0"/>
    <w:rsid w:val="00401A23"/>
    <w:rsid w:val="00401CA2"/>
    <w:rsid w:val="00405E6D"/>
    <w:rsid w:val="00411C55"/>
    <w:rsid w:val="00415648"/>
    <w:rsid w:val="00415BCE"/>
    <w:rsid w:val="00416351"/>
    <w:rsid w:val="0042015D"/>
    <w:rsid w:val="0042215C"/>
    <w:rsid w:val="004223DE"/>
    <w:rsid w:val="00424663"/>
    <w:rsid w:val="00425950"/>
    <w:rsid w:val="00430B78"/>
    <w:rsid w:val="00441209"/>
    <w:rsid w:val="00443568"/>
    <w:rsid w:val="00444981"/>
    <w:rsid w:val="0045026B"/>
    <w:rsid w:val="00453F94"/>
    <w:rsid w:val="004558AB"/>
    <w:rsid w:val="00457729"/>
    <w:rsid w:val="0047598D"/>
    <w:rsid w:val="004802CE"/>
    <w:rsid w:val="00486DB6"/>
    <w:rsid w:val="00487D16"/>
    <w:rsid w:val="00490FF3"/>
    <w:rsid w:val="004957F5"/>
    <w:rsid w:val="004976A5"/>
    <w:rsid w:val="004A0034"/>
    <w:rsid w:val="004A02D4"/>
    <w:rsid w:val="004A0690"/>
    <w:rsid w:val="004A2CA4"/>
    <w:rsid w:val="004A7A7B"/>
    <w:rsid w:val="004B401D"/>
    <w:rsid w:val="004B58A1"/>
    <w:rsid w:val="004B7BB8"/>
    <w:rsid w:val="004C351C"/>
    <w:rsid w:val="004C42F9"/>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1561C"/>
    <w:rsid w:val="00523B8A"/>
    <w:rsid w:val="00532585"/>
    <w:rsid w:val="00533FA0"/>
    <w:rsid w:val="0053657E"/>
    <w:rsid w:val="0054006F"/>
    <w:rsid w:val="00540C10"/>
    <w:rsid w:val="005464FA"/>
    <w:rsid w:val="0055742A"/>
    <w:rsid w:val="00560650"/>
    <w:rsid w:val="00567FB5"/>
    <w:rsid w:val="005770C3"/>
    <w:rsid w:val="00577753"/>
    <w:rsid w:val="00581AD2"/>
    <w:rsid w:val="005857A0"/>
    <w:rsid w:val="00587D18"/>
    <w:rsid w:val="00591E58"/>
    <w:rsid w:val="00592D42"/>
    <w:rsid w:val="005A2A05"/>
    <w:rsid w:val="005A5B02"/>
    <w:rsid w:val="005B3245"/>
    <w:rsid w:val="005B6754"/>
    <w:rsid w:val="005B75C0"/>
    <w:rsid w:val="005C3143"/>
    <w:rsid w:val="005D311B"/>
    <w:rsid w:val="005D559F"/>
    <w:rsid w:val="005D61D8"/>
    <w:rsid w:val="005E011D"/>
    <w:rsid w:val="005E3B86"/>
    <w:rsid w:val="005E4E6B"/>
    <w:rsid w:val="005E6995"/>
    <w:rsid w:val="005E7043"/>
    <w:rsid w:val="005E7C64"/>
    <w:rsid w:val="005F2A5A"/>
    <w:rsid w:val="005F2AEA"/>
    <w:rsid w:val="005F4FFE"/>
    <w:rsid w:val="00602C6F"/>
    <w:rsid w:val="00604ECA"/>
    <w:rsid w:val="006069FD"/>
    <w:rsid w:val="00610EE1"/>
    <w:rsid w:val="00613C84"/>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74542"/>
    <w:rsid w:val="0069278A"/>
    <w:rsid w:val="00697D49"/>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1E8"/>
    <w:rsid w:val="006F5B6D"/>
    <w:rsid w:val="006F5BD8"/>
    <w:rsid w:val="006F7AF9"/>
    <w:rsid w:val="007015B6"/>
    <w:rsid w:val="00701EC2"/>
    <w:rsid w:val="007021BE"/>
    <w:rsid w:val="00706C32"/>
    <w:rsid w:val="00707C9C"/>
    <w:rsid w:val="007106B4"/>
    <w:rsid w:val="007214A9"/>
    <w:rsid w:val="007214DF"/>
    <w:rsid w:val="007220B1"/>
    <w:rsid w:val="00724A4B"/>
    <w:rsid w:val="00727A14"/>
    <w:rsid w:val="007302C1"/>
    <w:rsid w:val="0073120F"/>
    <w:rsid w:val="007314F0"/>
    <w:rsid w:val="007324AF"/>
    <w:rsid w:val="0074240E"/>
    <w:rsid w:val="00742FA1"/>
    <w:rsid w:val="007476BA"/>
    <w:rsid w:val="00750798"/>
    <w:rsid w:val="00752BCF"/>
    <w:rsid w:val="0076538D"/>
    <w:rsid w:val="007714E5"/>
    <w:rsid w:val="00773D5E"/>
    <w:rsid w:val="00776FAF"/>
    <w:rsid w:val="00777229"/>
    <w:rsid w:val="007775E8"/>
    <w:rsid w:val="0078072D"/>
    <w:rsid w:val="00784108"/>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101A6"/>
    <w:rsid w:val="0081044D"/>
    <w:rsid w:val="00821E76"/>
    <w:rsid w:val="008259BC"/>
    <w:rsid w:val="0083105A"/>
    <w:rsid w:val="00837040"/>
    <w:rsid w:val="008427AB"/>
    <w:rsid w:val="008439F9"/>
    <w:rsid w:val="00847DCE"/>
    <w:rsid w:val="0085023C"/>
    <w:rsid w:val="00853966"/>
    <w:rsid w:val="00857827"/>
    <w:rsid w:val="00862CEF"/>
    <w:rsid w:val="00866A6C"/>
    <w:rsid w:val="00895252"/>
    <w:rsid w:val="008969FE"/>
    <w:rsid w:val="008A237C"/>
    <w:rsid w:val="008A2D2C"/>
    <w:rsid w:val="008A3633"/>
    <w:rsid w:val="008B2514"/>
    <w:rsid w:val="008B4607"/>
    <w:rsid w:val="008B5C78"/>
    <w:rsid w:val="008C030F"/>
    <w:rsid w:val="008C3836"/>
    <w:rsid w:val="008D046E"/>
    <w:rsid w:val="008E28BD"/>
    <w:rsid w:val="008E4EAC"/>
    <w:rsid w:val="008E541E"/>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354F6"/>
    <w:rsid w:val="00940134"/>
    <w:rsid w:val="00943A3E"/>
    <w:rsid w:val="00944CCC"/>
    <w:rsid w:val="00945E7F"/>
    <w:rsid w:val="00947403"/>
    <w:rsid w:val="0095057C"/>
    <w:rsid w:val="009543BA"/>
    <w:rsid w:val="00954FB4"/>
    <w:rsid w:val="0095754B"/>
    <w:rsid w:val="00960925"/>
    <w:rsid w:val="00970AB3"/>
    <w:rsid w:val="00982C13"/>
    <w:rsid w:val="00985DF4"/>
    <w:rsid w:val="00987E45"/>
    <w:rsid w:val="0099241E"/>
    <w:rsid w:val="009942F3"/>
    <w:rsid w:val="00994950"/>
    <w:rsid w:val="0099652B"/>
    <w:rsid w:val="009A0831"/>
    <w:rsid w:val="009A44FB"/>
    <w:rsid w:val="009A5CDE"/>
    <w:rsid w:val="009A7040"/>
    <w:rsid w:val="009B3F92"/>
    <w:rsid w:val="009B6CE5"/>
    <w:rsid w:val="009C3CE9"/>
    <w:rsid w:val="009C6A82"/>
    <w:rsid w:val="009D13F2"/>
    <w:rsid w:val="009D15D2"/>
    <w:rsid w:val="009D4D97"/>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17D"/>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0AF5"/>
    <w:rsid w:val="00B146E7"/>
    <w:rsid w:val="00B30B86"/>
    <w:rsid w:val="00B32A4F"/>
    <w:rsid w:val="00B358E2"/>
    <w:rsid w:val="00B40CB6"/>
    <w:rsid w:val="00B4203A"/>
    <w:rsid w:val="00B50AD6"/>
    <w:rsid w:val="00B51AB3"/>
    <w:rsid w:val="00B5337C"/>
    <w:rsid w:val="00B5340F"/>
    <w:rsid w:val="00B611F7"/>
    <w:rsid w:val="00B6765D"/>
    <w:rsid w:val="00B717C5"/>
    <w:rsid w:val="00B718B8"/>
    <w:rsid w:val="00B73C33"/>
    <w:rsid w:val="00B75463"/>
    <w:rsid w:val="00B76C9B"/>
    <w:rsid w:val="00B90F21"/>
    <w:rsid w:val="00B93445"/>
    <w:rsid w:val="00B94F7E"/>
    <w:rsid w:val="00B95F83"/>
    <w:rsid w:val="00B965C5"/>
    <w:rsid w:val="00B96E34"/>
    <w:rsid w:val="00B9729A"/>
    <w:rsid w:val="00BB0177"/>
    <w:rsid w:val="00BB3A31"/>
    <w:rsid w:val="00BC1A56"/>
    <w:rsid w:val="00BC2D65"/>
    <w:rsid w:val="00BD1F2C"/>
    <w:rsid w:val="00BD2BBE"/>
    <w:rsid w:val="00BD7EF8"/>
    <w:rsid w:val="00BE0FEE"/>
    <w:rsid w:val="00BE4817"/>
    <w:rsid w:val="00BE721C"/>
    <w:rsid w:val="00BF0DC7"/>
    <w:rsid w:val="00BF1F54"/>
    <w:rsid w:val="00BF31AA"/>
    <w:rsid w:val="00C04782"/>
    <w:rsid w:val="00C04F2D"/>
    <w:rsid w:val="00C238F0"/>
    <w:rsid w:val="00C25CC6"/>
    <w:rsid w:val="00C31297"/>
    <w:rsid w:val="00C61A9B"/>
    <w:rsid w:val="00C66BD8"/>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57FE6"/>
    <w:rsid w:val="00E64B7B"/>
    <w:rsid w:val="00E66654"/>
    <w:rsid w:val="00E709FC"/>
    <w:rsid w:val="00E7154C"/>
    <w:rsid w:val="00E74817"/>
    <w:rsid w:val="00E75B6D"/>
    <w:rsid w:val="00E76C2B"/>
    <w:rsid w:val="00E8294F"/>
    <w:rsid w:val="00E870C3"/>
    <w:rsid w:val="00E8738A"/>
    <w:rsid w:val="00E916E5"/>
    <w:rsid w:val="00E92780"/>
    <w:rsid w:val="00E92F11"/>
    <w:rsid w:val="00E95399"/>
    <w:rsid w:val="00E95FBD"/>
    <w:rsid w:val="00E9654C"/>
    <w:rsid w:val="00EA1A1C"/>
    <w:rsid w:val="00EA34EF"/>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05960"/>
    <w:rsid w:val="00F113F4"/>
    <w:rsid w:val="00F13479"/>
    <w:rsid w:val="00F14CE8"/>
    <w:rsid w:val="00F1625A"/>
    <w:rsid w:val="00F17C93"/>
    <w:rsid w:val="00F50BA2"/>
    <w:rsid w:val="00F5664D"/>
    <w:rsid w:val="00F6771B"/>
    <w:rsid w:val="00F703C3"/>
    <w:rsid w:val="00F80799"/>
    <w:rsid w:val="00F8162A"/>
    <w:rsid w:val="00F81776"/>
    <w:rsid w:val="00F835AD"/>
    <w:rsid w:val="00F83D56"/>
    <w:rsid w:val="00F844FD"/>
    <w:rsid w:val="00F869A3"/>
    <w:rsid w:val="00F86FB3"/>
    <w:rsid w:val="00F93037"/>
    <w:rsid w:val="00F97BF1"/>
    <w:rsid w:val="00FA29D8"/>
    <w:rsid w:val="00FA5F5D"/>
    <w:rsid w:val="00FB0BA6"/>
    <w:rsid w:val="00FC29A0"/>
    <w:rsid w:val="00FC6C17"/>
    <w:rsid w:val="00FD2B63"/>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6733062">
      <w:bodyDiv w:val="1"/>
      <w:marLeft w:val="0"/>
      <w:marRight w:val="0"/>
      <w:marTop w:val="0"/>
      <w:marBottom w:val="0"/>
      <w:divBdr>
        <w:top w:val="none" w:sz="0" w:space="0" w:color="auto"/>
        <w:left w:val="none" w:sz="0" w:space="0" w:color="auto"/>
        <w:bottom w:val="none" w:sz="0" w:space="0" w:color="auto"/>
        <w:right w:val="none" w:sz="0" w:space="0" w:color="auto"/>
      </w:divBdr>
    </w:div>
    <w:div w:id="1092048721">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789</Words>
  <Characters>4498</Characters>
  <Application>Microsoft Office Word</Application>
  <DocSecurity>8</DocSecurity>
  <Lines>37</Lines>
  <Paragraphs>10</Paragraphs>
  <ScaleCrop>false</ScaleCrop>
  <Company/>
  <LinksUpToDate>false</LinksUpToDate>
  <CharactersWithSpaces>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851</cp:revision>
  <dcterms:created xsi:type="dcterms:W3CDTF">2019-05-30T09:42:00Z</dcterms:created>
  <dcterms:modified xsi:type="dcterms:W3CDTF">2020-04-03T13:16:00Z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