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eastAsia="华文中宋" w:cs="宋体"/>
          <w:b/>
          <w:kern w:val="0"/>
          <w:sz w:val="52"/>
          <w:szCs w:val="52"/>
        </w:rPr>
      </w:pPr>
      <w:r>
        <w:rPr>
          <w:rFonts w:hint="eastAsia" w:asci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ind w:firstLine="3240" w:firstLineChars="900"/>
        <w:rPr>
          <w:rFonts w:ascii="仿宋" w:hAnsi="仿宋" w:eastAsia="仿宋" w:cs="宋体"/>
          <w:kern w:val="0"/>
          <w:sz w:val="36"/>
          <w:szCs w:val="36"/>
        </w:rPr>
      </w:pPr>
      <w:r>
        <w:rPr>
          <w:rFonts w:hint="eastAsia" w:ascii="仿宋" w:hAnsi="仿宋" w:eastAsia="仿宋" w:cs="宋体"/>
          <w:kern w:val="0"/>
          <w:sz w:val="36"/>
          <w:szCs w:val="36"/>
        </w:rPr>
        <w:t>（2018年）</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项目名称：计量检测业务成本性支出项目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实施单位（公章）：喀什地区计量检定所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自治区主管部门（公章）：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项目负责人（签章）：阿布力米提</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填报时间：2019年 1月10 日</w:t>
      </w: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sectPr>
          <w:headerReference r:id="rId3" w:type="default"/>
          <w:pgSz w:w="11906" w:h="16838"/>
          <w:pgMar w:top="1440" w:right="1800" w:bottom="1440" w:left="1800" w:header="851" w:footer="992" w:gutter="0"/>
          <w:cols w:space="425" w:num="1"/>
          <w:docGrid w:type="lines" w:linePitch="312" w:charSpace="0"/>
        </w:sect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64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喀什地区计量检定所是归属喀什地区质量技术监督局的计量检定机构，建立和保存喀什地区社会公用计量标准十大类、三十四项，已开展力学、长度、电学、无线电、时间频率、声学、光学、热学、理化、电离辐射等10大类计量检验工作，是喀什地区计量检测设备先进、技术力量强，唯一通过省级法定计量检定机构考核和计量授权的地区级计量检定机构。</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spacing w:line="540" w:lineRule="exact"/>
        <w:ind w:firstLine="627" w:firstLineChars="200"/>
        <w:rPr>
          <w:rStyle w:val="19"/>
          <w:rFonts w:ascii="仿宋" w:hAnsi="仿宋" w:eastAsia="仿宋"/>
          <w:spacing w:val="-4"/>
          <w:sz w:val="32"/>
          <w:szCs w:val="32"/>
        </w:rPr>
      </w:pPr>
      <w:r>
        <w:rPr>
          <w:rStyle w:val="19"/>
          <w:rFonts w:hint="eastAsia" w:ascii="仿宋" w:hAnsi="仿宋" w:eastAsia="仿宋"/>
          <w:spacing w:val="-4"/>
          <w:sz w:val="32"/>
          <w:szCs w:val="32"/>
        </w:rPr>
        <w:t>1、项目预期目标及阶段性目标</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了保证全地区计量器材检定数据的准确并且检定检测公平公正本所预计需要成本开支110万元，主要用于项目完成包括:1、非强制检定计量器具高于620批次，2、强制检定计量器具大于700批次，3、强制检定计量器具完成率高于95%，4、非强制检定计量器具完成率高于95%，5、需要消耗的成本为水费不超过5万，6、电费不超过5万，7、外出检定差旅费不超过30万，8、培训费不超过10万，9、劳务费不超过40万，10、办公用房物业费不超过15万，11、公车运行费用不超过5万，共计110万元整，开展此项项目预计能提高被检企业计量设备合格率大于95%降低企业不必要的物料损耗，在完成该项项目时保证被检企业100%满意。</w:t>
      </w:r>
    </w:p>
    <w:p>
      <w:pPr>
        <w:spacing w:line="540" w:lineRule="exact"/>
        <w:ind w:firstLine="627" w:firstLineChars="200"/>
        <w:outlineLvl w:val="0"/>
        <w:rPr>
          <w:rStyle w:val="19"/>
          <w:rFonts w:ascii="仿宋" w:hAnsi="仿宋" w:eastAsia="仿宋"/>
          <w:spacing w:val="-4"/>
          <w:sz w:val="32"/>
          <w:szCs w:val="32"/>
        </w:rPr>
      </w:pPr>
      <w:r>
        <w:rPr>
          <w:rStyle w:val="19"/>
          <w:rFonts w:hint="eastAsia" w:ascii="仿宋" w:hAnsi="仿宋" w:eastAsia="仿宋"/>
          <w:spacing w:val="-4"/>
          <w:sz w:val="32"/>
          <w:szCs w:val="32"/>
        </w:rPr>
        <w:t>2、项目基本性质</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本项目性质为延续性项目。</w:t>
      </w:r>
    </w:p>
    <w:p>
      <w:pPr>
        <w:spacing w:line="540" w:lineRule="exact"/>
        <w:ind w:firstLine="627" w:firstLineChars="200"/>
        <w:outlineLvl w:val="0"/>
        <w:rPr>
          <w:rStyle w:val="19"/>
          <w:rFonts w:ascii="仿宋" w:hAnsi="仿宋" w:eastAsia="仿宋"/>
          <w:spacing w:val="-4"/>
          <w:sz w:val="32"/>
          <w:szCs w:val="32"/>
        </w:rPr>
      </w:pPr>
      <w:r>
        <w:rPr>
          <w:rStyle w:val="19"/>
          <w:rFonts w:hint="eastAsia" w:ascii="仿宋" w:hAnsi="仿宋" w:eastAsia="仿宋"/>
          <w:spacing w:val="-4"/>
          <w:sz w:val="32"/>
          <w:szCs w:val="32"/>
        </w:rPr>
        <w:t>3、项目用途及范围</w:t>
      </w:r>
    </w:p>
    <w:p>
      <w:pPr>
        <w:spacing w:line="540" w:lineRule="exact"/>
        <w:ind w:firstLine="624" w:firstLineChars="200"/>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计量检测成本性支出项目主要用途围绕2018年开展的正常计量检定业务，项目资金主要用于日常检定人员的差旅费、培训费、标准物质购买、物业费、水电费等。</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761" w:firstLineChars="243"/>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758" w:firstLineChars="243"/>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计量检测成本性支出支出系项目预算安排总额为110万元，其中财政资金110万元，自筹资金0万元，2018年实际收到的财政资金110万元。</w:t>
      </w:r>
    </w:p>
    <w:p>
      <w:pPr>
        <w:spacing w:line="540" w:lineRule="exact"/>
        <w:ind w:firstLine="761" w:firstLineChars="243"/>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758" w:firstLineChars="243"/>
        <w:rPr>
          <w:rStyle w:val="19"/>
          <w:rFonts w:ascii="仿宋" w:hAnsi="仿宋" w:eastAsia="仿宋" w:cs="仿宋"/>
          <w:b w:val="0"/>
          <w:bCs w:val="0"/>
          <w:spacing w:val="-4"/>
          <w:sz w:val="32"/>
          <w:szCs w:val="32"/>
        </w:rPr>
      </w:pPr>
      <w:r>
        <w:rPr>
          <w:rStyle w:val="19"/>
          <w:rFonts w:hint="eastAsia" w:ascii="仿宋" w:hAnsi="仿宋" w:eastAsia="仿宋"/>
          <w:b w:val="0"/>
          <w:spacing w:val="-4"/>
          <w:sz w:val="32"/>
          <w:szCs w:val="32"/>
        </w:rPr>
        <w:t>本项目实际支付资金110万元，预算执行力1</w:t>
      </w:r>
      <w:r>
        <w:rPr>
          <w:rStyle w:val="19"/>
          <w:rFonts w:ascii="仿宋" w:hAnsi="仿宋" w:eastAsia="仿宋"/>
          <w:b w:val="0"/>
          <w:spacing w:val="-4"/>
          <w:sz w:val="32"/>
          <w:szCs w:val="32"/>
        </w:rPr>
        <w:t>00</w:t>
      </w:r>
      <w:r>
        <w:rPr>
          <w:rStyle w:val="19"/>
          <w:rFonts w:hint="eastAsia" w:ascii="仿宋" w:hAnsi="仿宋" w:eastAsia="仿宋"/>
          <w:b w:val="0"/>
          <w:spacing w:val="-4"/>
          <w:sz w:val="32"/>
          <w:szCs w:val="32"/>
        </w:rPr>
        <w:t>%，项目资金主要用于：</w:t>
      </w:r>
      <w:r>
        <w:rPr>
          <w:rStyle w:val="19"/>
          <w:rFonts w:hint="eastAsia" w:ascii="仿宋" w:hAnsi="仿宋" w:eastAsia="仿宋" w:cs="仿宋"/>
          <w:b w:val="0"/>
          <w:bCs w:val="0"/>
          <w:spacing w:val="-4"/>
          <w:sz w:val="32"/>
          <w:szCs w:val="32"/>
        </w:rPr>
        <w:t>检测业务费40万元；差旅费15万元；办公费2万元；培训费2万元；物业管理费14万元；公车运行费用6万元；专用材料费15万元；送检费11万元、租赁费5万元；共计110万元。</w:t>
      </w:r>
    </w:p>
    <w:p>
      <w:pPr>
        <w:spacing w:line="540" w:lineRule="exact"/>
        <w:ind w:firstLine="758" w:firstLineChars="243"/>
        <w:rPr>
          <w:rStyle w:val="19"/>
          <w:rFonts w:ascii="楷体" w:hAnsi="楷体" w:eastAsia="楷体"/>
          <w:spacing w:val="-4"/>
          <w:sz w:val="32"/>
          <w:szCs w:val="32"/>
        </w:rPr>
      </w:pPr>
      <w:r>
        <w:rPr>
          <w:rStyle w:val="19"/>
          <w:rFonts w:hint="eastAsia" w:ascii="仿宋" w:hAnsi="仿宋" w:eastAsia="仿宋" w:cs="仿宋"/>
          <w:b w:val="0"/>
          <w:bCs w:val="0"/>
          <w:spacing w:val="-4"/>
          <w:sz w:val="32"/>
          <w:szCs w:val="32"/>
        </w:rPr>
        <w:t>由于本所检测业务特点所需，包括1、全地区12个县市大量检测业务需要前往相关企业进行现场检测，2、检测业务种类多、检定规程严格，所以对标准物质及检测设备的消耗及维护量较大等特点。致使本所检测业务成本、及专用材料成本占用财政资金较多。</w:t>
      </w:r>
    </w:p>
    <w:p>
      <w:pPr>
        <w:spacing w:line="540" w:lineRule="exact"/>
        <w:ind w:firstLine="761" w:firstLineChars="243"/>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所严格按照喀什地区财政局相关文件要求执行项目资金并加以严格管理制定相关财务会计制度，具体制度如下：首先为了规范项目资金使用管理行为，建立健全的项目资金使用制度，根据《政府会计制度》及其有关规定，结合本所实际情况制定办法；其次财务管理的目标是实现本所开展项目能顺利实施，保障财产安全与资金安全，做好各项财务收支计划合理申领财政预算资金及合理安排项目支出，提高国有资产使用率；最后针对项目资金的安全性，本所制定了严格的财务审批制度，财务审批权限有所长负责，所有报销业务实行经办人、验收人审批人相分离的内部牵制制度。</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761" w:firstLineChars="243"/>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2018年全年喀什地区计量检定所对所对全地区12个县市开展计量检定工作，关注民生构建社会主义和谐社会的总体要求，保证喀什地区市场计量秩序</w:t>
      </w:r>
      <w:r>
        <w:rPr>
          <w:rStyle w:val="19"/>
          <w:rFonts w:hint="eastAsia" w:ascii="仿宋" w:hAnsi="仿宋" w:eastAsia="仿宋"/>
          <w:b w:val="0"/>
          <w:spacing w:val="-4"/>
          <w:sz w:val="32"/>
          <w:szCs w:val="32"/>
          <w:lang w:val="en-US" w:eastAsia="zh-CN"/>
        </w:rPr>
        <w:t>和谐</w:t>
      </w:r>
      <w:r>
        <w:rPr>
          <w:rStyle w:val="19"/>
          <w:rFonts w:hint="eastAsia" w:ascii="仿宋" w:hAnsi="仿宋" w:eastAsia="仿宋"/>
          <w:b w:val="0"/>
          <w:spacing w:val="-4"/>
          <w:sz w:val="32"/>
          <w:szCs w:val="32"/>
        </w:rPr>
        <w:t>，切实保护人民群众切身利益，集中对本地区12个县市食品生产企业在用计量器具、定量包装商品、在用衡器等与百姓生活密切相关的重点计量器具开展检定、校准、检验活动，严格遵守国家有关的计量法律法规认真履行计量法律法规所赋予的责任。</w:t>
      </w:r>
    </w:p>
    <w:p>
      <w:pPr>
        <w:spacing w:line="54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40" w:lineRule="exact"/>
        <w:ind w:firstLine="640"/>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项目实施过程中，喀什地区计量检定所依据《质量手册》相关要求开展计量检测业务，严格按照项目管理要求使用项目资金，保障全年检测业务顺利开展并完成全年的检测目标。</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spacing w:line="540" w:lineRule="exact"/>
        <w:ind w:firstLine="761" w:firstLineChars="243"/>
        <w:outlineLvl w:val="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758" w:firstLineChars="243"/>
        <w:rPr>
          <w:rStyle w:val="19"/>
          <w:rFonts w:ascii="仿宋" w:hAnsi="仿宋" w:eastAsia="仿宋"/>
          <w:b w:val="0"/>
          <w:spacing w:val="-4"/>
          <w:sz w:val="32"/>
          <w:szCs w:val="32"/>
        </w:rPr>
      </w:pPr>
      <w:r>
        <w:rPr>
          <w:rStyle w:val="19"/>
          <w:rFonts w:hint="eastAsia" w:ascii="仿宋" w:hAnsi="仿宋" w:eastAsia="仿宋"/>
          <w:b w:val="0"/>
          <w:spacing w:val="-4"/>
          <w:sz w:val="32"/>
          <w:szCs w:val="32"/>
        </w:rPr>
        <w:t>本所此项目共设置一级指标3个，二级指标9个，三级指标1</w:t>
      </w:r>
      <w:r>
        <w:rPr>
          <w:rStyle w:val="19"/>
          <w:rFonts w:ascii="仿宋" w:hAnsi="仿宋" w:eastAsia="仿宋"/>
          <w:b w:val="0"/>
          <w:spacing w:val="-4"/>
          <w:sz w:val="32"/>
          <w:szCs w:val="32"/>
        </w:rPr>
        <w:t>5</w:t>
      </w:r>
      <w:r>
        <w:rPr>
          <w:rStyle w:val="19"/>
          <w:rFonts w:hint="eastAsia" w:ascii="仿宋" w:hAnsi="仿宋" w:eastAsia="仿宋"/>
          <w:b w:val="0"/>
          <w:spacing w:val="-4"/>
          <w:sz w:val="32"/>
          <w:szCs w:val="32"/>
        </w:rPr>
        <w:t>个，指标完成率为1</w:t>
      </w:r>
      <w:r>
        <w:rPr>
          <w:rStyle w:val="19"/>
          <w:rFonts w:ascii="仿宋" w:hAnsi="仿宋" w:eastAsia="仿宋"/>
          <w:b w:val="0"/>
          <w:spacing w:val="-4"/>
          <w:sz w:val="32"/>
          <w:szCs w:val="32"/>
        </w:rPr>
        <w:t>00</w:t>
      </w:r>
      <w:r>
        <w:rPr>
          <w:rStyle w:val="19"/>
          <w:rFonts w:hint="eastAsia" w:ascii="仿宋" w:hAnsi="仿宋" w:eastAsia="仿宋"/>
          <w:b w:val="0"/>
          <w:spacing w:val="-4"/>
          <w:sz w:val="32"/>
          <w:szCs w:val="32"/>
        </w:rPr>
        <w:t>%。</w:t>
      </w:r>
    </w:p>
    <w:p>
      <w:pPr>
        <w:spacing w:line="540" w:lineRule="exact"/>
        <w:ind w:firstLine="758" w:firstLineChars="243"/>
        <w:jc w:val="left"/>
        <w:rPr>
          <w:rStyle w:val="19"/>
          <w:rFonts w:ascii="仿宋" w:hAnsi="仿宋" w:eastAsia="仿宋"/>
          <w:b w:val="0"/>
          <w:spacing w:val="-4"/>
          <w:sz w:val="32"/>
          <w:szCs w:val="32"/>
        </w:rPr>
      </w:pPr>
      <w:r>
        <w:rPr>
          <w:rStyle w:val="19"/>
          <w:rFonts w:hint="eastAsia" w:ascii="仿宋" w:hAnsi="仿宋" w:eastAsia="仿宋"/>
          <w:b w:val="0"/>
          <w:spacing w:val="-4"/>
          <w:sz w:val="32"/>
          <w:szCs w:val="32"/>
        </w:rPr>
        <w:t>经济性：根据2</w:t>
      </w:r>
      <w:r>
        <w:rPr>
          <w:rStyle w:val="19"/>
          <w:rFonts w:ascii="仿宋" w:hAnsi="仿宋" w:eastAsia="仿宋"/>
          <w:b w:val="0"/>
          <w:spacing w:val="-4"/>
          <w:sz w:val="32"/>
          <w:szCs w:val="32"/>
        </w:rPr>
        <w:t>018</w:t>
      </w:r>
      <w:r>
        <w:rPr>
          <w:rStyle w:val="19"/>
          <w:rFonts w:hint="eastAsia" w:ascii="仿宋" w:hAnsi="仿宋" w:eastAsia="仿宋"/>
          <w:b w:val="0"/>
          <w:spacing w:val="-4"/>
          <w:sz w:val="32"/>
          <w:szCs w:val="32"/>
        </w:rPr>
        <w:t>年计量检测费预算征收计划完成1</w:t>
      </w:r>
      <w:r>
        <w:rPr>
          <w:rStyle w:val="19"/>
          <w:rFonts w:ascii="仿宋" w:hAnsi="仿宋" w:eastAsia="仿宋"/>
          <w:b w:val="0"/>
          <w:spacing w:val="-4"/>
          <w:sz w:val="32"/>
          <w:szCs w:val="32"/>
        </w:rPr>
        <w:t>80.1</w:t>
      </w:r>
      <w:r>
        <w:rPr>
          <w:rStyle w:val="19"/>
          <w:rFonts w:hint="eastAsia" w:ascii="仿宋" w:hAnsi="仿宋" w:eastAsia="仿宋"/>
          <w:b w:val="0"/>
          <w:spacing w:val="-4"/>
          <w:sz w:val="32"/>
          <w:szCs w:val="32"/>
        </w:rPr>
        <w:t>万元的征收计划，在财政拨付1</w:t>
      </w:r>
      <w:r>
        <w:rPr>
          <w:rStyle w:val="19"/>
          <w:rFonts w:ascii="仿宋" w:hAnsi="仿宋" w:eastAsia="仿宋"/>
          <w:b w:val="0"/>
          <w:spacing w:val="-4"/>
          <w:sz w:val="32"/>
          <w:szCs w:val="32"/>
        </w:rPr>
        <w:t>10</w:t>
      </w:r>
      <w:r>
        <w:rPr>
          <w:rStyle w:val="19"/>
          <w:rFonts w:hint="eastAsia" w:ascii="仿宋" w:hAnsi="仿宋" w:eastAsia="仿宋"/>
          <w:b w:val="0"/>
          <w:spacing w:val="-4"/>
          <w:sz w:val="32"/>
          <w:szCs w:val="32"/>
        </w:rPr>
        <w:t>万元财政资金的情况下完成了</w:t>
      </w:r>
      <w:r>
        <w:rPr>
          <w:rStyle w:val="19"/>
          <w:rFonts w:ascii="仿宋" w:hAnsi="仿宋" w:eastAsia="仿宋"/>
          <w:b w:val="0"/>
          <w:spacing w:val="-4"/>
          <w:sz w:val="32"/>
          <w:szCs w:val="32"/>
        </w:rPr>
        <w:t>180.1</w:t>
      </w:r>
      <w:r>
        <w:rPr>
          <w:rStyle w:val="19"/>
          <w:rFonts w:hint="eastAsia" w:ascii="仿宋" w:hAnsi="仿宋" w:eastAsia="仿宋"/>
          <w:b w:val="0"/>
          <w:spacing w:val="-4"/>
          <w:sz w:val="32"/>
          <w:szCs w:val="32"/>
        </w:rPr>
        <w:t>万元的征收任务目标，1</w:t>
      </w:r>
      <w:r>
        <w:rPr>
          <w:rStyle w:val="19"/>
          <w:rFonts w:ascii="仿宋" w:hAnsi="仿宋" w:eastAsia="仿宋"/>
          <w:b w:val="0"/>
          <w:spacing w:val="-4"/>
          <w:sz w:val="32"/>
          <w:szCs w:val="32"/>
        </w:rPr>
        <w:t>00</w:t>
      </w:r>
      <w:r>
        <w:rPr>
          <w:rStyle w:val="19"/>
          <w:rFonts w:hint="eastAsia" w:ascii="仿宋" w:hAnsi="仿宋" w:eastAsia="仿宋"/>
          <w:b w:val="0"/>
          <w:spacing w:val="-4"/>
          <w:sz w:val="32"/>
          <w:szCs w:val="32"/>
        </w:rPr>
        <w:t>%完成了征收目标。</w:t>
      </w:r>
    </w:p>
    <w:p>
      <w:pPr>
        <w:spacing w:line="540" w:lineRule="exact"/>
        <w:ind w:firstLine="758" w:firstLineChars="243"/>
        <w:jc w:val="left"/>
        <w:rPr>
          <w:rStyle w:val="19"/>
          <w:rFonts w:ascii="仿宋" w:hAnsi="仿宋" w:eastAsia="仿宋"/>
          <w:b w:val="0"/>
          <w:spacing w:val="-4"/>
          <w:sz w:val="32"/>
          <w:szCs w:val="32"/>
        </w:rPr>
      </w:pPr>
      <w:r>
        <w:rPr>
          <w:rStyle w:val="19"/>
          <w:rFonts w:hint="eastAsia" w:ascii="仿宋" w:hAnsi="仿宋" w:eastAsia="仿宋"/>
          <w:b w:val="0"/>
          <w:spacing w:val="-4"/>
          <w:sz w:val="32"/>
          <w:szCs w:val="32"/>
        </w:rPr>
        <w:t>效率性：在有财政资金保证的情况下，喀什地区计量检定所顺利全部完成计量检定目标，完成目标情况如下：计划完成非强制检定器具620批次，实际完成630批次，完成率达101.6%；计划完成强制检定计量器具700批次，实际完成715批次，完成率达102.1%；分别计划强制检定计量器具完成率达95%、非强制检定计量器具完成率达95%，实际完成率95.5%及96.1%均完成年初既定目标；</w:t>
      </w:r>
    </w:p>
    <w:p>
      <w:pPr>
        <w:spacing w:line="540" w:lineRule="exact"/>
        <w:ind w:firstLine="758" w:firstLineChars="243"/>
        <w:jc w:val="left"/>
        <w:rPr>
          <w:rFonts w:ascii="仿宋" w:hAnsi="仿宋" w:eastAsia="仿宋"/>
          <w:spacing w:val="-4"/>
          <w:sz w:val="32"/>
          <w:szCs w:val="32"/>
        </w:rPr>
      </w:pPr>
      <w:r>
        <w:rPr>
          <w:rStyle w:val="19"/>
          <w:rFonts w:hint="eastAsia" w:ascii="仿宋" w:hAnsi="仿宋" w:eastAsia="仿宋"/>
          <w:b w:val="0"/>
          <w:spacing w:val="-4"/>
          <w:sz w:val="32"/>
          <w:szCs w:val="32"/>
        </w:rPr>
        <w:t>效益性：2018年全年监督校准率达98%以上；被检单位满意度达100%、全年上缴非税检定收入181.07万元，均已完成年初既定目标。</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758" w:firstLineChars="242"/>
        <w:outlineLvl w:val="0"/>
        <w:rPr>
          <w:rFonts w:ascii="楷体" w:hAnsi="楷体" w:eastAsia="楷体"/>
          <w:b/>
          <w:spacing w:val="-4"/>
          <w:sz w:val="32"/>
          <w:szCs w:val="32"/>
        </w:rPr>
      </w:pPr>
      <w:bookmarkStart w:id="0" w:name="_GoBack"/>
      <w:r>
        <w:rPr>
          <w:rFonts w:hint="eastAsia" w:ascii="楷体" w:hAnsi="楷体" w:eastAsia="楷体"/>
          <w:b/>
          <w:spacing w:val="-4"/>
          <w:sz w:val="32"/>
          <w:szCs w:val="32"/>
        </w:rPr>
        <w:t>（一）后续工作计划</w:t>
      </w:r>
    </w:p>
    <w:bookmarkEnd w:id="0"/>
    <w:p>
      <w:pPr>
        <w:spacing w:line="540" w:lineRule="exact"/>
        <w:ind w:firstLine="755" w:firstLineChars="242"/>
        <w:rPr>
          <w:rFonts w:hint="eastAsia" w:ascii="仿宋" w:hAnsi="仿宋" w:eastAsia="仿宋"/>
          <w:spacing w:val="-4"/>
          <w:sz w:val="32"/>
          <w:szCs w:val="32"/>
          <w:lang w:eastAsia="zh-CN"/>
        </w:rPr>
      </w:pPr>
      <w:r>
        <w:rPr>
          <w:rFonts w:hint="eastAsia" w:ascii="仿宋" w:hAnsi="仿宋" w:eastAsia="仿宋"/>
          <w:spacing w:val="-4"/>
          <w:sz w:val="32"/>
          <w:szCs w:val="32"/>
        </w:rPr>
        <w:t>在2018年的完成情况下，提高检测能力、增加检测项目人员的培训，争取在2019年增设新的检测项目，更进一步的促进当地市场计量秩序的</w:t>
      </w:r>
      <w:r>
        <w:rPr>
          <w:rFonts w:hint="eastAsia" w:ascii="仿宋" w:hAnsi="仿宋" w:eastAsia="仿宋"/>
          <w:spacing w:val="-4"/>
          <w:sz w:val="32"/>
          <w:szCs w:val="32"/>
          <w:lang w:val="en-US" w:eastAsia="zh-CN"/>
        </w:rPr>
        <w:t>和谐</w:t>
      </w:r>
    </w:p>
    <w:p>
      <w:pPr>
        <w:spacing w:line="540" w:lineRule="exact"/>
        <w:ind w:firstLine="758" w:firstLineChars="242"/>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758" w:firstLineChars="242"/>
        <w:rPr>
          <w:rFonts w:ascii="仿宋" w:hAnsi="仿宋" w:eastAsia="仿宋" w:cs="仿宋"/>
          <w:b/>
          <w:bCs/>
          <w:spacing w:val="-4"/>
          <w:sz w:val="32"/>
          <w:szCs w:val="32"/>
        </w:rPr>
      </w:pPr>
      <w:r>
        <w:rPr>
          <w:rFonts w:hint="eastAsia" w:ascii="仿宋" w:hAnsi="仿宋" w:eastAsia="仿宋" w:cs="仿宋"/>
          <w:b/>
          <w:bCs/>
          <w:spacing w:val="-4"/>
          <w:sz w:val="32"/>
          <w:szCs w:val="32"/>
        </w:rPr>
        <w:t>1、主要经验及做法</w:t>
      </w:r>
    </w:p>
    <w:p>
      <w:pPr>
        <w:spacing w:line="540" w:lineRule="exact"/>
        <w:ind w:firstLine="755" w:firstLineChars="242"/>
        <w:rPr>
          <w:rFonts w:ascii="仿宋" w:hAnsi="仿宋" w:eastAsia="仿宋" w:cs="仿宋"/>
          <w:bCs/>
          <w:spacing w:val="-4"/>
          <w:sz w:val="32"/>
          <w:szCs w:val="32"/>
        </w:rPr>
      </w:pPr>
      <w:r>
        <w:rPr>
          <w:rFonts w:hint="eastAsia" w:ascii="仿宋" w:hAnsi="仿宋" w:eastAsia="仿宋" w:cs="仿宋"/>
          <w:bCs/>
          <w:spacing w:val="-4"/>
          <w:sz w:val="32"/>
          <w:szCs w:val="32"/>
        </w:rPr>
        <w:t>本所主要的做法是严格按照财务制度及项目管理制度执行和安排预算资金，严格按照资金审批流程及项目进度使用配套的财政预算资金，保质保量的完成全年绩效目标。</w:t>
      </w:r>
    </w:p>
    <w:p>
      <w:pPr>
        <w:spacing w:line="540" w:lineRule="exact"/>
        <w:ind w:firstLine="758" w:firstLineChars="242"/>
        <w:rPr>
          <w:rFonts w:ascii="仿宋" w:hAnsi="仿宋" w:eastAsia="仿宋" w:cs="仿宋"/>
          <w:b/>
          <w:bCs/>
          <w:spacing w:val="-4"/>
          <w:sz w:val="32"/>
          <w:szCs w:val="32"/>
        </w:rPr>
      </w:pPr>
      <w:r>
        <w:rPr>
          <w:rFonts w:ascii="仿宋" w:hAnsi="仿宋" w:eastAsia="仿宋" w:cs="仿宋"/>
          <w:b/>
          <w:bCs/>
          <w:spacing w:val="-4"/>
          <w:sz w:val="32"/>
          <w:szCs w:val="32"/>
        </w:rPr>
        <w:t>2</w:t>
      </w:r>
      <w:r>
        <w:rPr>
          <w:rFonts w:hint="eastAsia" w:ascii="仿宋" w:hAnsi="仿宋" w:eastAsia="仿宋" w:cs="仿宋"/>
          <w:b/>
          <w:bCs/>
          <w:spacing w:val="-4"/>
          <w:sz w:val="32"/>
          <w:szCs w:val="32"/>
        </w:rPr>
        <w:t>、存在的问题</w:t>
      </w:r>
    </w:p>
    <w:p>
      <w:pPr>
        <w:spacing w:line="540" w:lineRule="exact"/>
        <w:ind w:firstLine="755" w:firstLineChars="242"/>
        <w:rPr>
          <w:rFonts w:ascii="仿宋" w:hAnsi="仿宋" w:eastAsia="仿宋" w:cs="仿宋"/>
          <w:bCs/>
          <w:spacing w:val="-4"/>
          <w:sz w:val="32"/>
          <w:szCs w:val="32"/>
        </w:rPr>
      </w:pPr>
      <w:r>
        <w:rPr>
          <w:rFonts w:hint="eastAsia" w:ascii="仿宋" w:hAnsi="仿宋" w:eastAsia="仿宋" w:cs="仿宋"/>
          <w:bCs/>
          <w:spacing w:val="-4"/>
          <w:sz w:val="32"/>
          <w:szCs w:val="32"/>
        </w:rPr>
        <w:t>本项目不存在问题。</w:t>
      </w:r>
    </w:p>
    <w:p>
      <w:pPr>
        <w:spacing w:line="540" w:lineRule="exact"/>
        <w:ind w:firstLine="758" w:firstLineChars="242"/>
        <w:rPr>
          <w:rFonts w:ascii="仿宋" w:hAnsi="仿宋" w:eastAsia="仿宋" w:cs="仿宋"/>
          <w:b/>
          <w:bCs/>
          <w:spacing w:val="-4"/>
          <w:sz w:val="32"/>
          <w:szCs w:val="32"/>
        </w:rPr>
      </w:pPr>
      <w:r>
        <w:rPr>
          <w:rFonts w:hint="eastAsia" w:ascii="仿宋" w:hAnsi="仿宋" w:eastAsia="仿宋" w:cs="仿宋"/>
          <w:b/>
          <w:bCs/>
          <w:spacing w:val="-4"/>
          <w:sz w:val="32"/>
          <w:szCs w:val="32"/>
        </w:rPr>
        <w:t>3、建议</w:t>
      </w:r>
    </w:p>
    <w:p>
      <w:pPr>
        <w:spacing w:line="540" w:lineRule="exact"/>
        <w:ind w:firstLine="755" w:firstLineChars="242"/>
        <w:rPr>
          <w:rFonts w:ascii="仿宋" w:hAnsi="仿宋" w:eastAsia="仿宋" w:cs="仿宋"/>
          <w:bCs/>
          <w:spacing w:val="-4"/>
          <w:sz w:val="32"/>
          <w:szCs w:val="32"/>
        </w:rPr>
      </w:pPr>
      <w:r>
        <w:rPr>
          <w:rFonts w:hint="eastAsia" w:ascii="仿宋" w:hAnsi="仿宋" w:eastAsia="仿宋" w:cs="仿宋"/>
          <w:bCs/>
          <w:spacing w:val="-4"/>
          <w:sz w:val="32"/>
          <w:szCs w:val="32"/>
        </w:rPr>
        <w:t>主要建议是加强资金管理、完善审批流程。</w:t>
      </w:r>
    </w:p>
    <w:p>
      <w:pPr>
        <w:numPr>
          <w:ilvl w:val="0"/>
          <w:numId w:val="1"/>
        </w:num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项目评价工作情况</w:t>
      </w:r>
    </w:p>
    <w:p>
      <w:pPr>
        <w:spacing w:line="540" w:lineRule="exact"/>
        <w:ind w:firstLine="608"/>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本次评价通过文件研读、实地调研、数据分析等方式，全面了解计量检测成本性支出项目资金的使用效率和效果，项目管理过程规范，完成了预期绩效目标。同时开展自我评价来总结经验教训，为喀什地区计量检定所计量检测成本性支出项目今后的开展提供参考建议。</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spacing w:line="540" w:lineRule="exact"/>
        <w:ind w:firstLine="608"/>
        <w:rPr>
          <w:rStyle w:val="19"/>
          <w:rFonts w:ascii="仿宋" w:hAnsi="仿宋" w:eastAsia="仿宋" w:cs="仿宋"/>
          <w:b w:val="0"/>
          <w:spacing w:val="-4"/>
          <w:sz w:val="32"/>
          <w:szCs w:val="32"/>
        </w:rPr>
      </w:pPr>
    </w:p>
    <w:p>
      <w:pPr>
        <w:spacing w:line="540" w:lineRule="exact"/>
        <w:ind w:firstLine="640"/>
        <w:rPr>
          <w:rStyle w:val="19"/>
          <w:rFonts w:ascii="仿宋" w:hAnsi="仿宋" w:eastAsia="仿宋"/>
          <w:b w:val="0"/>
          <w:spacing w:val="-4"/>
          <w:sz w:val="32"/>
          <w:szCs w:val="32"/>
        </w:rPr>
      </w:pPr>
      <w:r>
        <w:rPr>
          <w:rStyle w:val="19"/>
          <w:rFonts w:hint="eastAsia" w:ascii="黑体" w:hAnsi="黑体" w:eastAsia="黑体"/>
          <w:b w:val="0"/>
          <w:spacing w:val="-4"/>
          <w:sz w:val="32"/>
          <w:szCs w:val="32"/>
        </w:rPr>
        <w:t xml:space="preserve">                             </w:t>
      </w:r>
    </w:p>
    <w:p>
      <w:pPr>
        <w:spacing w:line="540" w:lineRule="exact"/>
        <w:ind w:firstLine="640"/>
        <w:rPr>
          <w:rStyle w:val="19"/>
          <w:rFonts w:ascii="仿宋" w:hAnsi="仿宋" w:eastAsia="仿宋"/>
          <w:b w:val="0"/>
          <w:spacing w:val="-4"/>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51DF2"/>
    <w:multiLevelType w:val="singleLevel"/>
    <w:tmpl w:val="75551DF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2C5762"/>
    <w:rsid w:val="002F7D6A"/>
    <w:rsid w:val="00321C1C"/>
    <w:rsid w:val="003C731A"/>
    <w:rsid w:val="004D0227"/>
    <w:rsid w:val="005162F1"/>
    <w:rsid w:val="00523184"/>
    <w:rsid w:val="00535153"/>
    <w:rsid w:val="0064769A"/>
    <w:rsid w:val="006E7D2D"/>
    <w:rsid w:val="007658B0"/>
    <w:rsid w:val="00792E69"/>
    <w:rsid w:val="00855E3A"/>
    <w:rsid w:val="00875294"/>
    <w:rsid w:val="00901E20"/>
    <w:rsid w:val="00922CB9"/>
    <w:rsid w:val="009B1DEB"/>
    <w:rsid w:val="00A26421"/>
    <w:rsid w:val="00A4293B"/>
    <w:rsid w:val="00A55ADF"/>
    <w:rsid w:val="00A60784"/>
    <w:rsid w:val="00A85259"/>
    <w:rsid w:val="00A92BE0"/>
    <w:rsid w:val="00AF49F4"/>
    <w:rsid w:val="00B41F61"/>
    <w:rsid w:val="00B52F00"/>
    <w:rsid w:val="00BE0D51"/>
    <w:rsid w:val="00C56C72"/>
    <w:rsid w:val="00CA6457"/>
    <w:rsid w:val="00CF01E3"/>
    <w:rsid w:val="00CF1A3A"/>
    <w:rsid w:val="00D17F2E"/>
    <w:rsid w:val="00D75BBC"/>
    <w:rsid w:val="00D80E4D"/>
    <w:rsid w:val="00D868EB"/>
    <w:rsid w:val="00E33C92"/>
    <w:rsid w:val="00E769FE"/>
    <w:rsid w:val="00EA2CBE"/>
    <w:rsid w:val="00F16E76"/>
    <w:rsid w:val="00F32FEE"/>
    <w:rsid w:val="06796506"/>
    <w:rsid w:val="10C24CBB"/>
    <w:rsid w:val="2C0E05AA"/>
    <w:rsid w:val="36B1098E"/>
    <w:rsid w:val="3D6553FC"/>
    <w:rsid w:val="4EBF5BE2"/>
    <w:rsid w:val="5205206C"/>
    <w:rsid w:val="57B27826"/>
    <w:rsid w:val="6B7301AD"/>
    <w:rsid w:val="6C913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Layout w:type="fixed"/>
      <w:tblCellMar>
        <w:top w:w="0" w:type="dxa"/>
        <w:left w:w="108" w:type="dxa"/>
        <w:bottom w:w="0" w:type="dxa"/>
        <w:right w:w="108" w:type="dxa"/>
      </w:tblCellMar>
    </w:tblPr>
  </w:style>
  <w:style w:type="paragraph" w:styleId="11">
    <w:name w:val="Document Map"/>
    <w:basedOn w:val="1"/>
    <w:link w:val="46"/>
    <w:semiHidden/>
    <w:unhideWhenUsed/>
    <w:uiPriority w:val="99"/>
    <w:rPr>
      <w:rFonts w:ascii="宋体"/>
      <w:sz w:val="18"/>
      <w:szCs w:val="18"/>
    </w:rPr>
  </w:style>
  <w:style w:type="paragraph" w:styleId="12">
    <w:name w:val="Balloon Text"/>
    <w:basedOn w:val="1"/>
    <w:link w:val="47"/>
    <w:semiHidden/>
    <w:unhideWhenUsed/>
    <w:uiPriority w:val="99"/>
    <w:rPr>
      <w:sz w:val="18"/>
      <w:szCs w:val="18"/>
    </w:rPr>
  </w:style>
  <w:style w:type="paragraph" w:styleId="13">
    <w:name w:val="footer"/>
    <w:basedOn w:val="1"/>
    <w:link w:val="45"/>
    <w:unhideWhenUsed/>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uiPriority w:val="9"/>
    <w:rPr>
      <w:rFonts w:asciiTheme="majorHAnsi" w:hAnsiTheme="majorHAnsi" w:eastAsiaTheme="majorEastAsia"/>
      <w:b/>
      <w:bCs/>
      <w:kern w:val="32"/>
      <w:sz w:val="32"/>
      <w:szCs w:val="32"/>
    </w:rPr>
  </w:style>
  <w:style w:type="character" w:customStyle="1" w:styleId="22">
    <w:name w:val="标题 2 Char"/>
    <w:basedOn w:val="18"/>
    <w:link w:val="3"/>
    <w:semiHidden/>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uiPriority w:val="99"/>
    <w:rPr>
      <w:rFonts w:ascii="Calibri" w:hAnsi="Calibri" w:eastAsia="宋体"/>
      <w:kern w:val="2"/>
      <w:sz w:val="18"/>
      <w:szCs w:val="18"/>
    </w:rPr>
  </w:style>
  <w:style w:type="character" w:customStyle="1" w:styleId="46">
    <w:name w:val="文档结构图 Char"/>
    <w:basedOn w:val="18"/>
    <w:link w:val="11"/>
    <w:semiHidden/>
    <w:uiPriority w:val="99"/>
    <w:rPr>
      <w:rFonts w:ascii="宋体"/>
      <w:kern w:val="2"/>
      <w:sz w:val="18"/>
      <w:szCs w:val="18"/>
    </w:rPr>
  </w:style>
  <w:style w:type="character" w:customStyle="1" w:styleId="47">
    <w:name w:val="批注框文本 Char"/>
    <w:basedOn w:val="18"/>
    <w:link w:val="12"/>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372</Words>
  <Characters>2127</Characters>
  <Lines>17</Lines>
  <Paragraphs>4</Paragraphs>
  <TotalTime>13</TotalTime>
  <ScaleCrop>false</ScaleCrop>
  <LinksUpToDate>false</LinksUpToDate>
  <CharactersWithSpaces>2495</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2018-12-21T13:29:00Z</dcterms:created>
  <dc:creator>赵 恺（预算处）</dc:creator>
  <cp:lastModifiedBy>Administrator</cp:lastModifiedBy>
  <cp:lastPrinted>2018-12-25T09:25:00Z</cp:lastPrinted>
  <dcterms:modified xsi:type="dcterms:W3CDTF">2019-10-21T12:45:43Z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