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宋体"/>
          <w:kern w:val="0"/>
          <w:sz w:val="36"/>
          <w:szCs w:val="36"/>
          <w:lang w:val="en-US" w:eastAsia="zh-CN"/>
        </w:rPr>
        <w:t>工作</w:t>
      </w:r>
      <w:r>
        <w:rPr>
          <w:rFonts w:hint="eastAsia" w:ascii="仿宋" w:hAnsi="仿宋" w:eastAsia="仿宋" w:cs="宋体"/>
          <w:kern w:val="0"/>
          <w:sz w:val="36"/>
          <w:szCs w:val="36"/>
        </w:rPr>
        <w:t>经费项目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实施单位（公章）：喀什地区外事侨务办公室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项目负责人（签章）：茹仙古丽艾沙</w:t>
      </w:r>
    </w:p>
    <w:p>
      <w:pPr>
        <w:spacing w:line="700" w:lineRule="exact"/>
        <w:jc w:val="left"/>
        <w:rPr>
          <w:rFonts w:ascii="仿宋" w:hAnsi="仿宋" w:eastAsia="仿宋" w:cs="宋体"/>
          <w:kern w:val="0"/>
          <w:sz w:val="36"/>
          <w:szCs w:val="36"/>
        </w:rPr>
      </w:pPr>
      <w:r>
        <w:rPr>
          <w:rFonts w:hint="eastAsia" w:ascii="仿宋" w:hAnsi="仿宋" w:eastAsia="仿宋" w:cs="宋体"/>
          <w:kern w:val="0"/>
          <w:sz w:val="36"/>
          <w:szCs w:val="36"/>
        </w:rPr>
        <w:t>填报时间：</w:t>
      </w:r>
      <w:r>
        <w:rPr>
          <w:rFonts w:ascii="仿宋" w:hAnsi="仿宋" w:eastAsia="仿宋" w:cs="宋体"/>
          <w:kern w:val="0"/>
          <w:sz w:val="36"/>
          <w:szCs w:val="36"/>
        </w:rPr>
        <w:t xml:space="preserve"> 2019</w:t>
      </w:r>
      <w:r>
        <w:rPr>
          <w:rFonts w:hint="eastAsia" w:ascii="仿宋" w:hAnsi="仿宋" w:eastAsia="仿宋" w:cs="宋体"/>
          <w:kern w:val="0"/>
          <w:sz w:val="36"/>
          <w:szCs w:val="36"/>
        </w:rPr>
        <w:t>年</w:t>
      </w:r>
      <w:r>
        <w:rPr>
          <w:rFonts w:ascii="仿宋" w:hAnsi="仿宋" w:eastAsia="仿宋" w:cs="宋体"/>
          <w:kern w:val="0"/>
          <w:sz w:val="36"/>
          <w:szCs w:val="36"/>
        </w:rPr>
        <w:t xml:space="preserve"> 1</w:t>
      </w:r>
      <w:r>
        <w:rPr>
          <w:rFonts w:hint="eastAsia" w:ascii="仿宋" w:hAnsi="仿宋" w:eastAsia="仿宋" w:cs="宋体"/>
          <w:kern w:val="0"/>
          <w:sz w:val="36"/>
          <w:szCs w:val="36"/>
        </w:rPr>
        <w:t>月</w:t>
      </w:r>
      <w:r>
        <w:rPr>
          <w:rFonts w:ascii="仿宋" w:hAnsi="仿宋" w:eastAsia="仿宋" w:cs="宋体"/>
          <w:kern w:val="0"/>
          <w:sz w:val="36"/>
          <w:szCs w:val="36"/>
        </w:rPr>
        <w:t>10</w:t>
      </w:r>
      <w:r>
        <w:rPr>
          <w:rFonts w:hint="eastAsia" w:ascii="仿宋" w:hAnsi="仿宋" w:eastAsia="仿宋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  <w:sectPr>
          <w:footerReference r:id="rId3" w:type="default"/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ind w:firstLine="312" w:firstLineChars="10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主要职能：喀什地区外事侨务办公室（地区侨联）主要职责：一是办理出国护照（因公）、港澳通行证（因公）、外国签证、中巴通行证等出国（境）审批手续及归侨侨眷证明“三侨一台”考生证明等；二是外事侨务接待、涉外领事案件管理、外国专家、境外无国界组织及外国记者管理与服务；三是友城及对外友好、对外宣传工作；四是侨务管理与服务；五是边防设施建设与维护工作；六是边界日常管理与协调工作；七是侨联工作。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机构情况：喀什地区外事侨务办公室与喀什地区归国华侨联合会同属一个党组，机构分设。喀什地区外侨办现有公务员编制</w:t>
      </w:r>
      <w:r>
        <w:rPr>
          <w:rFonts w:ascii="仿宋" w:hAnsi="仿宋" w:eastAsia="仿宋"/>
          <w:spacing w:val="-4"/>
          <w:sz w:val="32"/>
          <w:szCs w:val="32"/>
        </w:rPr>
        <w:t>15</w:t>
      </w:r>
      <w:r>
        <w:rPr>
          <w:rFonts w:hint="eastAsia" w:ascii="仿宋" w:hAnsi="仿宋" w:eastAsia="仿宋"/>
          <w:spacing w:val="-4"/>
          <w:sz w:val="32"/>
          <w:szCs w:val="32"/>
        </w:rPr>
        <w:t>名，工勤编制</w:t>
      </w:r>
      <w:r>
        <w:rPr>
          <w:rFonts w:ascii="仿宋" w:hAnsi="仿宋" w:eastAsia="仿宋"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spacing w:val="-4"/>
          <w:sz w:val="32"/>
          <w:szCs w:val="32"/>
        </w:rPr>
        <w:t>名，合计</w:t>
      </w:r>
      <w:r>
        <w:rPr>
          <w:rFonts w:ascii="仿宋" w:hAnsi="仿宋" w:eastAsia="仿宋"/>
          <w:spacing w:val="-4"/>
          <w:sz w:val="32"/>
          <w:szCs w:val="32"/>
        </w:rPr>
        <w:t>19</w:t>
      </w:r>
      <w:r>
        <w:rPr>
          <w:rFonts w:hint="eastAsia" w:ascii="仿宋" w:hAnsi="仿宋" w:eastAsia="仿宋"/>
          <w:spacing w:val="-4"/>
          <w:sz w:val="32"/>
          <w:szCs w:val="32"/>
        </w:rPr>
        <w:t>名。实有公务员人数</w:t>
      </w:r>
      <w:r>
        <w:rPr>
          <w:rFonts w:ascii="仿宋" w:hAnsi="仿宋" w:eastAsia="仿宋"/>
          <w:spacing w:val="-4"/>
          <w:sz w:val="32"/>
          <w:szCs w:val="32"/>
        </w:rPr>
        <w:t>14</w:t>
      </w:r>
      <w:r>
        <w:rPr>
          <w:rFonts w:hint="eastAsia" w:ascii="仿宋" w:hAnsi="仿宋" w:eastAsia="仿宋"/>
          <w:spacing w:val="-4"/>
          <w:sz w:val="32"/>
          <w:szCs w:val="32"/>
        </w:rPr>
        <w:t>名，工勤</w:t>
      </w:r>
      <w:r>
        <w:rPr>
          <w:rFonts w:ascii="仿宋" w:hAnsi="仿宋" w:eastAsia="仿宋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spacing w:val="-4"/>
          <w:sz w:val="32"/>
          <w:szCs w:val="32"/>
        </w:rPr>
        <w:t>名，合计</w:t>
      </w:r>
      <w:r>
        <w:rPr>
          <w:rFonts w:ascii="仿宋" w:hAnsi="仿宋" w:eastAsia="仿宋"/>
          <w:spacing w:val="-4"/>
          <w:sz w:val="32"/>
          <w:szCs w:val="32"/>
        </w:rPr>
        <w:t>17</w:t>
      </w:r>
      <w:r>
        <w:rPr>
          <w:rFonts w:hint="eastAsia" w:ascii="仿宋" w:hAnsi="仿宋" w:eastAsia="仿宋"/>
          <w:spacing w:val="-4"/>
          <w:sz w:val="32"/>
          <w:szCs w:val="32"/>
        </w:rPr>
        <w:t>名。现在离休干部</w:t>
      </w:r>
      <w:r>
        <w:rPr>
          <w:rFonts w:ascii="仿宋" w:hAnsi="仿宋" w:eastAsia="仿宋"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名；喀什地区归国华侨联合会现有参照公务员编制</w:t>
      </w:r>
      <w:r>
        <w:rPr>
          <w:rFonts w:ascii="仿宋" w:hAnsi="仿宋" w:eastAsia="仿宋"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spacing w:val="-4"/>
          <w:sz w:val="32"/>
          <w:szCs w:val="32"/>
        </w:rPr>
        <w:t>名，工勤编制</w:t>
      </w:r>
      <w:r>
        <w:rPr>
          <w:rFonts w:ascii="仿宋" w:hAnsi="仿宋" w:eastAsia="仿宋"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名，合计</w:t>
      </w:r>
      <w:r>
        <w:rPr>
          <w:rFonts w:ascii="仿宋" w:hAnsi="仿宋" w:eastAsia="仿宋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spacing w:val="-4"/>
          <w:sz w:val="32"/>
          <w:szCs w:val="32"/>
        </w:rPr>
        <w:t>名。实有参照公务员</w:t>
      </w:r>
      <w:r>
        <w:rPr>
          <w:rFonts w:ascii="仿宋" w:hAnsi="仿宋" w:eastAsia="仿宋"/>
          <w:spacing w:val="-4"/>
          <w:sz w:val="32"/>
          <w:szCs w:val="32"/>
        </w:rPr>
        <w:t>4</w:t>
      </w:r>
      <w:r>
        <w:rPr>
          <w:rFonts w:hint="eastAsia" w:ascii="仿宋" w:hAnsi="仿宋" w:eastAsia="仿宋"/>
          <w:spacing w:val="-4"/>
          <w:sz w:val="32"/>
          <w:szCs w:val="32"/>
        </w:rPr>
        <w:t>名，工勤</w:t>
      </w:r>
      <w:r>
        <w:rPr>
          <w:rFonts w:ascii="仿宋" w:hAnsi="仿宋" w:eastAsia="仿宋"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名，合计</w:t>
      </w:r>
      <w:r>
        <w:rPr>
          <w:rFonts w:ascii="仿宋" w:hAnsi="仿宋" w:eastAsia="仿宋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spacing w:val="-4"/>
          <w:sz w:val="32"/>
          <w:szCs w:val="32"/>
        </w:rPr>
        <w:t>名。</w:t>
      </w:r>
    </w:p>
    <w:p>
      <w:pPr>
        <w:spacing w:line="540" w:lineRule="exact"/>
        <w:ind w:firstLine="313" w:firstLineChars="100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其他支出项目经费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万元。其中：为民办实事</w:t>
      </w:r>
      <w:r>
        <w:rPr>
          <w:rFonts w:ascii="仿宋" w:hAnsi="仿宋" w:eastAsia="仿宋"/>
          <w:spacing w:val="-4"/>
          <w:sz w:val="32"/>
          <w:szCs w:val="32"/>
        </w:rPr>
        <w:t>5</w:t>
      </w:r>
      <w:r>
        <w:rPr>
          <w:rFonts w:hint="eastAsia" w:ascii="仿宋" w:hAnsi="仿宋" w:eastAsia="仿宋"/>
          <w:spacing w:val="-4"/>
          <w:sz w:val="32"/>
          <w:szCs w:val="32"/>
        </w:rPr>
        <w:t>万元，深度扶贫</w:t>
      </w:r>
      <w:r>
        <w:rPr>
          <w:rFonts w:ascii="仿宋" w:hAnsi="仿宋" w:eastAsia="仿宋"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spacing w:val="-4"/>
          <w:sz w:val="32"/>
          <w:szCs w:val="32"/>
        </w:rPr>
        <w:t>万，工作经费</w:t>
      </w:r>
      <w:r>
        <w:rPr>
          <w:rFonts w:ascii="仿宋" w:hAnsi="仿宋" w:eastAsia="仿宋"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spacing w:val="-4"/>
          <w:sz w:val="32"/>
          <w:szCs w:val="32"/>
        </w:rPr>
        <w:t>万，均为财政拨款。项目为延续性项目，主要用于工作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人员</w:t>
      </w:r>
      <w:bookmarkStart w:id="0" w:name="_GoBack"/>
      <w:bookmarkEnd w:id="0"/>
      <w:r>
        <w:rPr>
          <w:rFonts w:hint="eastAsia" w:ascii="仿宋" w:hAnsi="仿宋" w:eastAsia="仿宋"/>
          <w:spacing w:val="-4"/>
          <w:sz w:val="32"/>
          <w:szCs w:val="32"/>
        </w:rPr>
        <w:t>为民办实事，访贫问苦、更新“两委”</w:t>
      </w:r>
      <w:r>
        <w:rPr>
          <w:rFonts w:ascii="仿宋" w:hAnsi="仿宋" w:eastAsia="仿宋"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spacing w:val="-4"/>
          <w:sz w:val="32"/>
          <w:szCs w:val="32"/>
        </w:rPr>
        <w:t>办公设施、组织开展各类活动经费，保障工作正常有序开展。</w:t>
      </w: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80" w:firstLineChars="25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项目预算金额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万元，财政资金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主要用于工作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人员</w:t>
      </w:r>
      <w:r>
        <w:rPr>
          <w:rFonts w:hint="eastAsia" w:ascii="仿宋" w:hAnsi="仿宋" w:eastAsia="仿宋"/>
          <w:spacing w:val="-4"/>
          <w:sz w:val="32"/>
          <w:szCs w:val="32"/>
        </w:rPr>
        <w:t>为民办实事，访贫问苦、更新“两委”</w:t>
      </w:r>
      <w:r>
        <w:rPr>
          <w:rFonts w:ascii="仿宋" w:hAnsi="仿宋" w:eastAsia="仿宋"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spacing w:val="-4"/>
          <w:sz w:val="32"/>
          <w:szCs w:val="32"/>
        </w:rPr>
        <w:t>办公设施、组织开展各类活动经费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万元。本项目实际支付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严格按照《关于印发</w:t>
      </w:r>
      <w:r>
        <w:rPr>
          <w:rFonts w:ascii="仿宋" w:hAnsi="仿宋" w:eastAsia="仿宋"/>
          <w:spacing w:val="-4"/>
          <w:sz w:val="32"/>
          <w:szCs w:val="32"/>
        </w:rPr>
        <w:t>&lt;</w:t>
      </w:r>
      <w:r>
        <w:rPr>
          <w:rFonts w:hint="eastAsia" w:ascii="仿宋" w:hAnsi="仿宋" w:eastAsia="仿宋"/>
          <w:spacing w:val="-4"/>
          <w:sz w:val="32"/>
          <w:szCs w:val="32"/>
        </w:rPr>
        <w:t>自治区“民情惠民生聚民心”工作为民办实事工作经费使用管理办法（试行）</w:t>
      </w:r>
      <w:r>
        <w:rPr>
          <w:rFonts w:ascii="仿宋" w:hAnsi="仿宋" w:eastAsia="仿宋"/>
          <w:spacing w:val="-4"/>
          <w:sz w:val="32"/>
          <w:szCs w:val="32"/>
        </w:rPr>
        <w:t>&gt;</w:t>
      </w:r>
      <w:r>
        <w:rPr>
          <w:rFonts w:hint="eastAsia" w:ascii="仿宋" w:hAnsi="仿宋" w:eastAsia="仿宋"/>
          <w:spacing w:val="-4"/>
          <w:sz w:val="32"/>
          <w:szCs w:val="32"/>
        </w:rPr>
        <w:t>的通知》要求，，坚持公平、公正、公开的原则，由工作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人员</w:t>
      </w:r>
      <w:r>
        <w:rPr>
          <w:rFonts w:hint="eastAsia" w:ascii="仿宋" w:hAnsi="仿宋" w:eastAsia="仿宋"/>
          <w:spacing w:val="-4"/>
          <w:sz w:val="32"/>
          <w:szCs w:val="32"/>
        </w:rPr>
        <w:t>与村“两委”班子集体研究决定资金使用情况，严格执行财务管理规定，切实做到账目清楚、票据规范，确保为民办实事工作经费专款专用。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该项目属于工作项目，保障工作正常开展。不存在调整情况，项目已执行完毕。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20"/>
          <w:rFonts w:ascii="楷体" w:hAnsi="楷体" w:eastAsia="楷体"/>
          <w:bCs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bCs/>
          <w:spacing w:val="-4"/>
          <w:sz w:val="32"/>
          <w:szCs w:val="32"/>
        </w:rPr>
        <w:t>项目管理情况分析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 xml:space="preserve"> </w:t>
      </w:r>
      <w:r>
        <w:rPr>
          <w:rFonts w:hint="eastAsia" w:ascii="仿宋" w:hAnsi="仿宋" w:eastAsia="仿宋"/>
          <w:spacing w:val="-4"/>
          <w:sz w:val="32"/>
          <w:szCs w:val="32"/>
        </w:rPr>
        <w:t>本项目支出符合喀什地区外事侨务办公室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Cs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四、项目绩效情况</w:t>
      </w:r>
      <w:r>
        <w:rPr>
          <w:rStyle w:val="20"/>
          <w:rFonts w:ascii="黑体" w:hAnsi="黑体" w:eastAsia="黑体"/>
          <w:bCs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spacing w:val="-4"/>
          <w:sz w:val="32"/>
          <w:szCs w:val="32"/>
        </w:rPr>
        <w:t>13</w:t>
      </w:r>
      <w:r>
        <w:rPr>
          <w:rFonts w:hint="eastAsia" w:ascii="仿宋" w:hAnsi="仿宋" w:eastAsia="仿宋"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spacing w:val="-4"/>
          <w:sz w:val="32"/>
          <w:szCs w:val="32"/>
        </w:rPr>
        <w:t>13</w:t>
      </w:r>
      <w:r>
        <w:rPr>
          <w:rFonts w:hint="eastAsia" w:ascii="仿宋" w:hAnsi="仿宋" w:eastAsia="仿宋"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spacing w:val="-4"/>
          <w:sz w:val="32"/>
          <w:szCs w:val="32"/>
        </w:rPr>
        <w:t>95%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经济性：工作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人员</w:t>
      </w:r>
      <w:r>
        <w:rPr>
          <w:rFonts w:hint="eastAsia" w:ascii="仿宋" w:hAnsi="仿宋" w:eastAsia="仿宋"/>
          <w:spacing w:val="-4"/>
          <w:sz w:val="32"/>
          <w:szCs w:val="32"/>
        </w:rPr>
        <w:t>所在脱贫攻坚工作的能力明显提升。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效益性：为群众解决困难诉求办实事好事能力持续提升。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效率性：工作成效明显提升。</w:t>
      </w:r>
    </w:p>
    <w:p>
      <w:pPr>
        <w:spacing w:line="540" w:lineRule="exact"/>
        <w:ind w:firstLine="313" w:firstLineChars="100"/>
        <w:rPr>
          <w:rFonts w:ascii="楷体" w:hAnsi="楷体" w:eastAsia="楷体"/>
          <w:b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本项目不存在未完成情况。</w:t>
      </w:r>
    </w:p>
    <w:p>
      <w:pPr>
        <w:spacing w:line="540" w:lineRule="exact"/>
        <w:ind w:firstLine="312" w:firstLineChars="10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按照财政要求做好支出项目的按月分配额度工作。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  <w:t>1</w:t>
      </w:r>
      <w:r>
        <w:rPr>
          <w:rStyle w:val="20"/>
          <w:rFonts w:hint="eastAsia" w:ascii="仿宋" w:hAnsi="仿宋" w:eastAsia="仿宋"/>
          <w:b w:val="0"/>
          <w:bCs/>
          <w:spacing w:val="-4"/>
          <w:sz w:val="32"/>
          <w:szCs w:val="32"/>
        </w:rPr>
        <w:t>、主要经验及做法：</w:t>
      </w:r>
      <w:r>
        <w:rPr>
          <w:rFonts w:hint="eastAsia" w:ascii="仿宋" w:hAnsi="仿宋" w:eastAsia="仿宋"/>
          <w:spacing w:val="-4"/>
          <w:sz w:val="32"/>
          <w:szCs w:val="32"/>
        </w:rPr>
        <w:t>合理使用支配工作经费，为所农民群众办实事好事，解决群众困难诉求，帮扶贫困户，加大扶贫帮困力度，做好各项工作。</w:t>
      </w:r>
    </w:p>
    <w:p>
      <w:pPr>
        <w:spacing w:line="540" w:lineRule="exact"/>
        <w:ind w:firstLine="624" w:firstLineChars="200"/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  <w:t>2</w:t>
      </w:r>
      <w:r>
        <w:rPr>
          <w:rStyle w:val="20"/>
          <w:rFonts w:hint="eastAsia" w:ascii="仿宋" w:hAnsi="仿宋" w:eastAsia="仿宋"/>
          <w:b w:val="0"/>
          <w:bCs/>
          <w:spacing w:val="-4"/>
          <w:sz w:val="32"/>
          <w:szCs w:val="32"/>
        </w:rPr>
        <w:t>、存在的问题：所贫困户数及人口年龄普遍偏大，没有技术和资金。</w:t>
      </w:r>
    </w:p>
    <w:p>
      <w:pPr>
        <w:spacing w:line="54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  <w:t>3</w:t>
      </w:r>
      <w:r>
        <w:rPr>
          <w:rStyle w:val="20"/>
          <w:rFonts w:hint="eastAsia" w:ascii="仿宋" w:hAnsi="仿宋" w:eastAsia="仿宋"/>
          <w:b w:val="0"/>
          <w:bCs/>
          <w:spacing w:val="-4"/>
          <w:sz w:val="32"/>
          <w:szCs w:val="32"/>
        </w:rPr>
        <w:t>、建议：加大扶贫项目资金拨付力度，保障</w:t>
      </w:r>
      <w:r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  <w:t>2019</w:t>
      </w:r>
      <w:r>
        <w:rPr>
          <w:rStyle w:val="20"/>
          <w:rFonts w:hint="eastAsia" w:ascii="仿宋" w:hAnsi="仿宋" w:eastAsia="仿宋"/>
          <w:b w:val="0"/>
          <w:bCs/>
          <w:spacing w:val="-4"/>
          <w:sz w:val="32"/>
          <w:szCs w:val="32"/>
        </w:rPr>
        <w:t>年全村整体脱贫。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ascii="仿宋" w:hAnsi="仿宋" w:eastAsia="仿宋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万元其他支出为工作经费，已全部支付。本次评价通过文件研读、实地调研、数据分析等方式，全面了解支出项目资金的使用效率和效果，项目管理过程是规范，完成了预期绩效目标。同时，通过开展自我评价来总结经验和教训，为支出项目今后的开展提供参考建议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bCs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bCs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bCs/>
          <w:spacing w:val="-4"/>
          <w:sz w:val="32"/>
          <w:szCs w:val="32"/>
        </w:rPr>
        <w:t>项目支出绩效目标自评表</w:t>
      </w: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47A9"/>
    <w:multiLevelType w:val="singleLevel"/>
    <w:tmpl w:val="091C47A9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5DCD"/>
    <w:rsid w:val="000509FD"/>
    <w:rsid w:val="000520B6"/>
    <w:rsid w:val="00056465"/>
    <w:rsid w:val="00060F22"/>
    <w:rsid w:val="000D1FA0"/>
    <w:rsid w:val="00121AE4"/>
    <w:rsid w:val="00146AAD"/>
    <w:rsid w:val="001B3A40"/>
    <w:rsid w:val="001F3279"/>
    <w:rsid w:val="00212BDB"/>
    <w:rsid w:val="00250D74"/>
    <w:rsid w:val="00255F35"/>
    <w:rsid w:val="003625C5"/>
    <w:rsid w:val="003774A5"/>
    <w:rsid w:val="003A5601"/>
    <w:rsid w:val="003B1EF2"/>
    <w:rsid w:val="003B2FC0"/>
    <w:rsid w:val="003E6C0B"/>
    <w:rsid w:val="003F69E8"/>
    <w:rsid w:val="004366A8"/>
    <w:rsid w:val="00461704"/>
    <w:rsid w:val="004772BB"/>
    <w:rsid w:val="004959AC"/>
    <w:rsid w:val="004A16AD"/>
    <w:rsid w:val="004F41B9"/>
    <w:rsid w:val="004F4636"/>
    <w:rsid w:val="00502BA7"/>
    <w:rsid w:val="00514DAB"/>
    <w:rsid w:val="005162F1"/>
    <w:rsid w:val="00535153"/>
    <w:rsid w:val="00554F82"/>
    <w:rsid w:val="0056390D"/>
    <w:rsid w:val="005719B0"/>
    <w:rsid w:val="005B438C"/>
    <w:rsid w:val="005D10D6"/>
    <w:rsid w:val="005F4950"/>
    <w:rsid w:val="00606F45"/>
    <w:rsid w:val="006152DB"/>
    <w:rsid w:val="00617538"/>
    <w:rsid w:val="0062447E"/>
    <w:rsid w:val="006D0112"/>
    <w:rsid w:val="006E7A95"/>
    <w:rsid w:val="0073151E"/>
    <w:rsid w:val="007D2F0C"/>
    <w:rsid w:val="00817C9D"/>
    <w:rsid w:val="0082258E"/>
    <w:rsid w:val="00833825"/>
    <w:rsid w:val="00844480"/>
    <w:rsid w:val="00855E3A"/>
    <w:rsid w:val="008C70C3"/>
    <w:rsid w:val="008E5A11"/>
    <w:rsid w:val="008F1688"/>
    <w:rsid w:val="00922CB9"/>
    <w:rsid w:val="0096674C"/>
    <w:rsid w:val="0097586D"/>
    <w:rsid w:val="009B52D0"/>
    <w:rsid w:val="009E5CD9"/>
    <w:rsid w:val="009F06D2"/>
    <w:rsid w:val="00A22126"/>
    <w:rsid w:val="00A26421"/>
    <w:rsid w:val="00A35C6E"/>
    <w:rsid w:val="00A4293B"/>
    <w:rsid w:val="00A67D50"/>
    <w:rsid w:val="00A8691A"/>
    <w:rsid w:val="00AC1946"/>
    <w:rsid w:val="00B40063"/>
    <w:rsid w:val="00B41F61"/>
    <w:rsid w:val="00BA46E6"/>
    <w:rsid w:val="00BD0BF0"/>
    <w:rsid w:val="00BF0253"/>
    <w:rsid w:val="00C11152"/>
    <w:rsid w:val="00C2797C"/>
    <w:rsid w:val="00C56C72"/>
    <w:rsid w:val="00C82133"/>
    <w:rsid w:val="00CA240F"/>
    <w:rsid w:val="00CA6457"/>
    <w:rsid w:val="00CD258D"/>
    <w:rsid w:val="00CE1462"/>
    <w:rsid w:val="00CE666F"/>
    <w:rsid w:val="00D17F2E"/>
    <w:rsid w:val="00D30354"/>
    <w:rsid w:val="00D5299D"/>
    <w:rsid w:val="00D83B34"/>
    <w:rsid w:val="00DF42A0"/>
    <w:rsid w:val="00E134B4"/>
    <w:rsid w:val="00E769FE"/>
    <w:rsid w:val="00EA2CBE"/>
    <w:rsid w:val="00EA5BA5"/>
    <w:rsid w:val="00F32FEE"/>
    <w:rsid w:val="00F37454"/>
    <w:rsid w:val="00F55898"/>
    <w:rsid w:val="00FB10BB"/>
    <w:rsid w:val="01807419"/>
    <w:rsid w:val="03307CF5"/>
    <w:rsid w:val="05201B5B"/>
    <w:rsid w:val="05693A99"/>
    <w:rsid w:val="05D24A67"/>
    <w:rsid w:val="061627E1"/>
    <w:rsid w:val="07466B0A"/>
    <w:rsid w:val="0B553399"/>
    <w:rsid w:val="0D0F49D0"/>
    <w:rsid w:val="0D5A203E"/>
    <w:rsid w:val="0EE54020"/>
    <w:rsid w:val="1BE80CA1"/>
    <w:rsid w:val="1D49015E"/>
    <w:rsid w:val="1D82784F"/>
    <w:rsid w:val="2266598B"/>
    <w:rsid w:val="2348220B"/>
    <w:rsid w:val="262A78CB"/>
    <w:rsid w:val="267278C0"/>
    <w:rsid w:val="2AB3199C"/>
    <w:rsid w:val="2E1E089E"/>
    <w:rsid w:val="32DD71D5"/>
    <w:rsid w:val="3327103C"/>
    <w:rsid w:val="36347AA9"/>
    <w:rsid w:val="45807DC5"/>
    <w:rsid w:val="45B13124"/>
    <w:rsid w:val="4F294717"/>
    <w:rsid w:val="51A91DEB"/>
    <w:rsid w:val="52B428F5"/>
    <w:rsid w:val="578B2AE0"/>
    <w:rsid w:val="58454B6F"/>
    <w:rsid w:val="59222663"/>
    <w:rsid w:val="5FDD74B7"/>
    <w:rsid w:val="65B11689"/>
    <w:rsid w:val="68857A79"/>
    <w:rsid w:val="6B033F1A"/>
    <w:rsid w:val="6D095E5E"/>
    <w:rsid w:val="6EF26FD3"/>
    <w:rsid w:val="79044F76"/>
    <w:rsid w:val="7AA4610A"/>
    <w:rsid w:val="7C03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6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7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8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9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30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1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9">
    <w:name w:val="Default Paragraph Font"/>
    <w:semiHidden/>
    <w:qFormat/>
    <w:uiPriority w:val="99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9"/>
    <w:semiHidden/>
    <w:qFormat/>
    <w:locked/>
    <w:uiPriority w:val="99"/>
    <w:pPr>
      <w:jc w:val="left"/>
    </w:pPr>
  </w:style>
  <w:style w:type="paragraph" w:styleId="12">
    <w:name w:val="Balloon Text"/>
    <w:basedOn w:val="1"/>
    <w:link w:val="32"/>
    <w:semiHidden/>
    <w:uiPriority w:val="99"/>
    <w:rPr>
      <w:sz w:val="18"/>
      <w:szCs w:val="18"/>
    </w:rPr>
  </w:style>
  <w:style w:type="paragraph" w:styleId="13">
    <w:name w:val="footer"/>
    <w:basedOn w:val="1"/>
    <w:link w:val="33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5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6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7">
    <w:name w:val="annotation subject"/>
    <w:basedOn w:val="11"/>
    <w:next w:val="11"/>
    <w:link w:val="50"/>
    <w:semiHidden/>
    <w:qFormat/>
    <w:locked/>
    <w:uiPriority w:val="99"/>
    <w:rPr>
      <w:b/>
      <w:bCs/>
    </w:rPr>
  </w:style>
  <w:style w:type="character" w:styleId="20">
    <w:name w:val="Strong"/>
    <w:basedOn w:val="19"/>
    <w:qFormat/>
    <w:uiPriority w:val="99"/>
    <w:rPr>
      <w:rFonts w:cs="Times New Roman"/>
      <w:b/>
    </w:rPr>
  </w:style>
  <w:style w:type="character" w:styleId="21">
    <w:name w:val="Emphasis"/>
    <w:basedOn w:val="19"/>
    <w:qFormat/>
    <w:uiPriority w:val="99"/>
    <w:rPr>
      <w:rFonts w:ascii="Calibri" w:hAnsi="Calibri" w:cs="Times New Roman"/>
      <w:b/>
      <w:i/>
    </w:rPr>
  </w:style>
  <w:style w:type="character" w:styleId="22">
    <w:name w:val="annotation reference"/>
    <w:basedOn w:val="19"/>
    <w:semiHidden/>
    <w:qFormat/>
    <w:locked/>
    <w:uiPriority w:val="99"/>
    <w:rPr>
      <w:rFonts w:cs="Times New Roman"/>
      <w:sz w:val="21"/>
    </w:rPr>
  </w:style>
  <w:style w:type="character" w:customStyle="1" w:styleId="23">
    <w:name w:val="Heading 1 Char"/>
    <w:basedOn w:val="19"/>
    <w:link w:val="2"/>
    <w:locked/>
    <w:uiPriority w:val="99"/>
    <w:rPr>
      <w:rFonts w:ascii="Cambria" w:hAnsi="Cambria" w:eastAsia="宋体" w:cs="Times New Roman"/>
      <w:b/>
      <w:kern w:val="32"/>
      <w:sz w:val="32"/>
    </w:rPr>
  </w:style>
  <w:style w:type="character" w:customStyle="1" w:styleId="24">
    <w:name w:val="Heading 2 Char"/>
    <w:basedOn w:val="19"/>
    <w:link w:val="3"/>
    <w:semiHidden/>
    <w:locked/>
    <w:uiPriority w:val="99"/>
    <w:rPr>
      <w:rFonts w:ascii="Cambria" w:hAnsi="Cambria" w:eastAsia="宋体" w:cs="Times New Roman"/>
      <w:b/>
      <w:i/>
      <w:sz w:val="28"/>
    </w:rPr>
  </w:style>
  <w:style w:type="character" w:customStyle="1" w:styleId="25">
    <w:name w:val="Heading 3 Char"/>
    <w:basedOn w:val="19"/>
    <w:link w:val="4"/>
    <w:semiHidden/>
    <w:locked/>
    <w:uiPriority w:val="99"/>
    <w:rPr>
      <w:rFonts w:ascii="Cambria" w:hAnsi="Cambria" w:eastAsia="宋体" w:cs="Times New Roman"/>
      <w:b/>
      <w:sz w:val="26"/>
    </w:rPr>
  </w:style>
  <w:style w:type="character" w:customStyle="1" w:styleId="26">
    <w:name w:val="Heading 4 Char"/>
    <w:basedOn w:val="19"/>
    <w:link w:val="5"/>
    <w:semiHidden/>
    <w:locked/>
    <w:uiPriority w:val="99"/>
    <w:rPr>
      <w:rFonts w:cs="Times New Roman"/>
      <w:b/>
      <w:sz w:val="28"/>
    </w:rPr>
  </w:style>
  <w:style w:type="character" w:customStyle="1" w:styleId="27">
    <w:name w:val="Heading 5 Char"/>
    <w:basedOn w:val="19"/>
    <w:link w:val="6"/>
    <w:semiHidden/>
    <w:qFormat/>
    <w:locked/>
    <w:uiPriority w:val="99"/>
    <w:rPr>
      <w:rFonts w:cs="Times New Roman"/>
      <w:b/>
      <w:i/>
      <w:sz w:val="26"/>
    </w:rPr>
  </w:style>
  <w:style w:type="character" w:customStyle="1" w:styleId="28">
    <w:name w:val="Heading 6 Char"/>
    <w:basedOn w:val="19"/>
    <w:link w:val="7"/>
    <w:semiHidden/>
    <w:qFormat/>
    <w:locked/>
    <w:uiPriority w:val="99"/>
    <w:rPr>
      <w:rFonts w:cs="Times New Roman"/>
      <w:b/>
    </w:rPr>
  </w:style>
  <w:style w:type="character" w:customStyle="1" w:styleId="29">
    <w:name w:val="Heading 7 Char"/>
    <w:basedOn w:val="19"/>
    <w:link w:val="8"/>
    <w:semiHidden/>
    <w:locked/>
    <w:uiPriority w:val="99"/>
    <w:rPr>
      <w:rFonts w:cs="Times New Roman"/>
      <w:sz w:val="24"/>
    </w:rPr>
  </w:style>
  <w:style w:type="character" w:customStyle="1" w:styleId="30">
    <w:name w:val="Heading 8 Char"/>
    <w:basedOn w:val="19"/>
    <w:link w:val="9"/>
    <w:semiHidden/>
    <w:locked/>
    <w:uiPriority w:val="99"/>
    <w:rPr>
      <w:rFonts w:cs="Times New Roman"/>
      <w:i/>
      <w:sz w:val="24"/>
    </w:rPr>
  </w:style>
  <w:style w:type="character" w:customStyle="1" w:styleId="31">
    <w:name w:val="Heading 9 Char"/>
    <w:basedOn w:val="19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2">
    <w:name w:val="Balloon Text Char"/>
    <w:basedOn w:val="19"/>
    <w:link w:val="12"/>
    <w:semiHidden/>
    <w:locked/>
    <w:uiPriority w:val="99"/>
    <w:rPr>
      <w:rFonts w:ascii="Times New Roman" w:hAnsi="Times New Roman" w:eastAsia="宋体" w:cs="Times New Roman"/>
      <w:kern w:val="2"/>
      <w:sz w:val="18"/>
    </w:rPr>
  </w:style>
  <w:style w:type="character" w:customStyle="1" w:styleId="33">
    <w:name w:val="Footer Char"/>
    <w:basedOn w:val="19"/>
    <w:link w:val="13"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4">
    <w:name w:val="Header Char"/>
    <w:basedOn w:val="19"/>
    <w:link w:val="14"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35">
    <w:name w:val="Subtitle Char"/>
    <w:basedOn w:val="19"/>
    <w:link w:val="15"/>
    <w:locked/>
    <w:uiPriority w:val="99"/>
    <w:rPr>
      <w:rFonts w:ascii="Cambria" w:hAnsi="Cambria" w:eastAsia="宋体" w:cs="Times New Roman"/>
      <w:sz w:val="24"/>
    </w:rPr>
  </w:style>
  <w:style w:type="character" w:customStyle="1" w:styleId="36">
    <w:name w:val="Title Char"/>
    <w:basedOn w:val="19"/>
    <w:link w:val="16"/>
    <w:locked/>
    <w:uiPriority w:val="99"/>
    <w:rPr>
      <w:rFonts w:ascii="Cambria" w:hAnsi="Cambria" w:eastAsia="宋体" w:cs="Times New Roman"/>
      <w:b/>
      <w:kern w:val="28"/>
      <w:sz w:val="32"/>
    </w:rPr>
  </w:style>
  <w:style w:type="paragraph" w:styleId="37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8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9">
    <w:name w:val="Quote"/>
    <w:basedOn w:val="1"/>
    <w:next w:val="1"/>
    <w:link w:val="40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40">
    <w:name w:val="Quote Char"/>
    <w:basedOn w:val="19"/>
    <w:link w:val="39"/>
    <w:locked/>
    <w:uiPriority w:val="99"/>
    <w:rPr>
      <w:rFonts w:cs="Times New Roman"/>
      <w:i/>
      <w:sz w:val="24"/>
    </w:rPr>
  </w:style>
  <w:style w:type="paragraph" w:styleId="41">
    <w:name w:val="Intense Quote"/>
    <w:basedOn w:val="1"/>
    <w:next w:val="1"/>
    <w:link w:val="42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42">
    <w:name w:val="Intense Quote Char"/>
    <w:basedOn w:val="19"/>
    <w:link w:val="41"/>
    <w:locked/>
    <w:uiPriority w:val="99"/>
    <w:rPr>
      <w:rFonts w:cs="Times New Roman"/>
      <w:b/>
      <w:i/>
      <w:sz w:val="24"/>
    </w:rPr>
  </w:style>
  <w:style w:type="character" w:customStyle="1" w:styleId="43">
    <w:name w:val="Subtle Emphasis1"/>
    <w:uiPriority w:val="99"/>
    <w:rPr>
      <w:i/>
      <w:color w:val="5A5A5A"/>
    </w:rPr>
  </w:style>
  <w:style w:type="character" w:customStyle="1" w:styleId="44">
    <w:name w:val="Intense Emphasis1"/>
    <w:uiPriority w:val="99"/>
    <w:rPr>
      <w:b/>
      <w:i/>
      <w:sz w:val="24"/>
      <w:u w:val="single"/>
    </w:rPr>
  </w:style>
  <w:style w:type="character" w:customStyle="1" w:styleId="45">
    <w:name w:val="Subtle Reference1"/>
    <w:uiPriority w:val="99"/>
    <w:rPr>
      <w:sz w:val="24"/>
      <w:u w:val="single"/>
    </w:rPr>
  </w:style>
  <w:style w:type="character" w:customStyle="1" w:styleId="46">
    <w:name w:val="Intense Reference1"/>
    <w:uiPriority w:val="99"/>
    <w:rPr>
      <w:b/>
      <w:sz w:val="24"/>
      <w:u w:val="single"/>
    </w:rPr>
  </w:style>
  <w:style w:type="character" w:customStyle="1" w:styleId="47">
    <w:name w:val="Book Title1"/>
    <w:uiPriority w:val="99"/>
    <w:rPr>
      <w:rFonts w:ascii="Cambria" w:hAnsi="Cambria" w:eastAsia="宋体"/>
      <w:b/>
      <w:i/>
      <w:sz w:val="24"/>
    </w:rPr>
  </w:style>
  <w:style w:type="paragraph" w:customStyle="1" w:styleId="48">
    <w:name w:val="TOC Heading1"/>
    <w:basedOn w:val="2"/>
    <w:next w:val="1"/>
    <w:semiHidden/>
    <w:uiPriority w:val="99"/>
    <w:pPr>
      <w:outlineLvl w:val="9"/>
    </w:pPr>
    <w:rPr>
      <w:lang w:eastAsia="en-US"/>
    </w:rPr>
  </w:style>
  <w:style w:type="character" w:customStyle="1" w:styleId="49">
    <w:name w:val="Comment Text Char"/>
    <w:basedOn w:val="19"/>
    <w:link w:val="11"/>
    <w:semiHidden/>
    <w:locked/>
    <w:uiPriority w:val="99"/>
    <w:rPr>
      <w:rFonts w:ascii="Times New Roman" w:hAnsi="Times New Roman" w:cs="Times New Roman"/>
      <w:kern w:val="2"/>
      <w:sz w:val="24"/>
    </w:rPr>
  </w:style>
  <w:style w:type="character" w:customStyle="1" w:styleId="50">
    <w:name w:val="Comment Subject Char"/>
    <w:basedOn w:val="49"/>
    <w:link w:val="17"/>
    <w:semiHidden/>
    <w:locked/>
    <w:uiPriority w:val="99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251</Words>
  <Characters>1432</Characters>
  <Lines>0</Lines>
  <Paragraphs>0</Paragraphs>
  <TotalTime>67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2019-10-23T03:45:48Z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