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新疆喀什地区图书馆2019年度部门决算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1、负责保存图书报刊资料并供使用者借阅；负责喀什地区文献信息资料的征集收藏利用，促进社会经济文化发展；负责图书资料网络信息管理，文献数字化处理；负责图书报刊文献音像资料采编与存储。</w:t>
      </w:r>
      <w:r>
        <w:rPr>
          <w:rFonts w:hint="eastAsia" w:ascii="仿宋_GB2312" w:eastAsia="仿宋_GB2312"/>
          <w:sz w:val="32"/>
          <w:szCs w:val="32"/>
        </w:rPr>
        <w:br w:type="textWrapping"/>
      </w:r>
      <w:r>
        <w:rPr>
          <w:rFonts w:hint="eastAsia" w:ascii="仿宋_GB2312" w:eastAsia="仿宋_GB2312"/>
          <w:sz w:val="32"/>
          <w:szCs w:val="32"/>
        </w:rPr>
        <w:t xml:space="preserve">    2、机构设置喀什地区图书馆单位无下属预算单位，下设7个处室，分别是：办公室、阅览部、流通部、采编部、技术部、业务辅导部、参考咨询部。</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新疆喀什地区图书馆2</w:t>
      </w:r>
      <w:r>
        <w:rPr>
          <w:rFonts w:ascii="仿宋_GB2312" w:eastAsia="仿宋_GB2312"/>
          <w:sz w:val="32"/>
          <w:szCs w:val="32"/>
        </w:rPr>
        <w:t>019</w:t>
      </w:r>
      <w:r>
        <w:rPr>
          <w:rFonts w:hint="eastAsia" w:ascii="仿宋_GB2312" w:eastAsia="仿宋_GB2312"/>
          <w:sz w:val="32"/>
          <w:szCs w:val="32"/>
        </w:rPr>
        <w:t>年度，实有人数51人，其中：在职人员29人，离休人员0人，退休人员22人。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从部门决算单位构成看，新疆喀什地区图书馆部门决算包括：新疆喀什地区图书馆决算。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2019年度本年收入515.63万元，与上年相比，减少78.43万元，下降13.2%，主要原因是：</w:t>
      </w:r>
      <w:r>
        <w:rPr>
          <w:rFonts w:hint="eastAsia" w:ascii="仿宋_GB2312" w:eastAsia="仿宋_GB2312"/>
          <w:color w:val="000000" w:themeColor="text1"/>
          <w:sz w:val="32"/>
          <w:szCs w:val="32"/>
          <w14:textFill>
            <w14:solidFill>
              <w14:schemeClr w14:val="tx1"/>
            </w14:solidFill>
          </w14:textFill>
        </w:rPr>
        <w:t>图书购置项目经费和场馆维修费资金减少，绩效奖、精神文明奖、综治奖未执行，人员经费减少等。</w:t>
      </w:r>
      <w:r>
        <w:rPr>
          <w:rFonts w:hint="eastAsia" w:ascii="仿宋_GB2312" w:eastAsia="仿宋_GB2312"/>
          <w:sz w:val="32"/>
          <w:szCs w:val="32"/>
        </w:rPr>
        <w:t>本年支出519.56万元，与上年相比，减少75.96万元，下降12.76%，主要原因是：</w:t>
      </w:r>
      <w:r>
        <w:rPr>
          <w:rFonts w:hint="eastAsia" w:ascii="仿宋_GB2312" w:eastAsia="仿宋_GB2312"/>
          <w:color w:val="000000" w:themeColor="text1"/>
          <w:sz w:val="32"/>
          <w:szCs w:val="32"/>
          <w14:textFill>
            <w14:solidFill>
              <w14:schemeClr w14:val="tx1"/>
            </w14:solidFill>
          </w14:textFill>
        </w:rPr>
        <w:t>人员经费减少，专项工作补助、绩效奖、精神文明奖、综治奖未执行等。</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年度本年收入515.63万元，其中：财政拨款收入515.63万元，占100%；上级补助收入0万元，占0%；事业收入0万元，占0%；经营收入0万元，占0%；附属单位上缴收入0万元，占0%；其他收入0万元，占0%。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2019年度本年支出519.56万元，其中：基本支出445.63万元，占85.77%；项目支出73.93万元，占14.23%；上缴上级支出0万元，占0%；经营支出0万元，占0%；对附属单位补助支出0万元，占0%。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515.63万元，与上年相比，减少78.43万元，下降13.2%，主要原因是：人员经费减少，文化体育传媒支出调减，减少图书购置项目经费和场馆维修费所致。财政拨款支出519.56万元，与上年相比，减少75.96万元，下降12.76%，主要原因是：</w:t>
      </w:r>
      <w:r>
        <w:rPr>
          <w:rFonts w:ascii="仿宋_GB2312" w:eastAsia="仿宋_GB2312"/>
          <w:sz w:val="32"/>
          <w:szCs w:val="32"/>
        </w:rPr>
        <w:t>人员经费减少，文化体育传媒支出调减，减少图书购置项目经费和场馆维修费所致。</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522.40</w:t>
      </w:r>
      <w:r>
        <w:rPr>
          <w:rFonts w:hint="eastAsia" w:ascii="仿宋_GB2312" w:eastAsia="仿宋_GB2312"/>
          <w:sz w:val="32"/>
          <w:szCs w:val="32"/>
        </w:rPr>
        <w:t>万元，决算数515.63万元</w:t>
      </w:r>
      <w:r>
        <w:rPr>
          <w:rFonts w:ascii="仿宋_GB2312" w:eastAsia="仿宋_GB2312"/>
          <w:color w:val="000000" w:themeColor="text1"/>
          <w:sz w:val="32"/>
          <w:szCs w:val="32"/>
          <w14:textFill>
            <w14:solidFill>
              <w14:schemeClr w14:val="tx1"/>
            </w14:solidFill>
          </w14:textFill>
        </w:rPr>
        <w:t>，预决算差异率-1.3%，主要原因是：文化体育传媒支出调减，减少图书购置项目经费和场馆维修费项目所致。</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530.53</w:t>
      </w:r>
      <w:r>
        <w:rPr>
          <w:rFonts w:hint="eastAsia" w:ascii="仿宋_GB2312" w:eastAsia="仿宋_GB2312"/>
          <w:sz w:val="32"/>
          <w:szCs w:val="32"/>
        </w:rPr>
        <w:t>万元，决算数519.56万元</w:t>
      </w:r>
      <w:r>
        <w:rPr>
          <w:rFonts w:ascii="仿宋_GB2312" w:eastAsia="仿宋_GB2312"/>
          <w:color w:val="000000" w:themeColor="text1"/>
          <w:sz w:val="32"/>
          <w:szCs w:val="32"/>
          <w14:textFill>
            <w14:solidFill>
              <w14:schemeClr w14:val="tx1"/>
            </w14:solidFill>
          </w14:textFill>
        </w:rPr>
        <w:t>，预决算差异率-2.07%，主要原因是：人员变动减少，文化体育传媒支出调减，减少图书购置项目经费和场馆维修费项目所致。</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年度一般公共预算财政拨款支出519.56万元。按功能分类科目项级科目公开，其中：</w:t>
      </w:r>
    </w:p>
    <w:p>
      <w:pPr>
        <w:rPr>
          <w:rFonts w:ascii="仿宋_GB2312" w:eastAsia="仿宋_GB2312"/>
          <w:sz w:val="32"/>
          <w:szCs w:val="32"/>
        </w:rPr>
      </w:pPr>
      <w:r>
        <w:rPr>
          <w:rFonts w:ascii="仿宋_GB2312" w:eastAsia="仿宋_GB2312"/>
          <w:sz w:val="32"/>
          <w:szCs w:val="32"/>
        </w:rPr>
        <w:t xml:space="preserve">   2070104图书馆支出364.65万元；</w:t>
      </w:r>
      <w:r>
        <w:rPr>
          <w:rFonts w:ascii="仿宋_GB2312" w:eastAsia="仿宋_GB2312"/>
          <w:sz w:val="32"/>
          <w:szCs w:val="32"/>
        </w:rPr>
        <w:br w:type="textWrapping"/>
      </w:r>
      <w:r>
        <w:rPr>
          <w:rFonts w:ascii="仿宋_GB2312" w:eastAsia="仿宋_GB2312"/>
          <w:sz w:val="32"/>
          <w:szCs w:val="32"/>
        </w:rPr>
        <w:t xml:space="preserve">   2070199其他文化和旅游支出53.93万元；</w:t>
      </w:r>
      <w:r>
        <w:rPr>
          <w:rFonts w:ascii="仿宋_GB2312" w:eastAsia="仿宋_GB2312"/>
          <w:sz w:val="32"/>
          <w:szCs w:val="32"/>
        </w:rPr>
        <w:br w:type="textWrapping"/>
      </w:r>
      <w:r>
        <w:rPr>
          <w:rFonts w:ascii="仿宋_GB2312" w:eastAsia="仿宋_GB2312"/>
          <w:sz w:val="32"/>
          <w:szCs w:val="32"/>
        </w:rPr>
        <w:t xml:space="preserve">   2079999其他文化体育与传媒支出20万元；</w:t>
      </w:r>
      <w:r>
        <w:rPr>
          <w:rFonts w:ascii="仿宋_GB2312" w:eastAsia="仿宋_GB2312"/>
          <w:sz w:val="32"/>
          <w:szCs w:val="32"/>
        </w:rPr>
        <w:br w:type="textWrapping"/>
      </w:r>
      <w:r>
        <w:rPr>
          <w:rFonts w:ascii="仿宋_GB2312" w:eastAsia="仿宋_GB2312"/>
          <w:sz w:val="32"/>
          <w:szCs w:val="32"/>
        </w:rPr>
        <w:t xml:space="preserve">   2080505机关事业单位基本养老保险缴费支出41.36万元；</w:t>
      </w:r>
      <w:r>
        <w:rPr>
          <w:rFonts w:ascii="仿宋_GB2312" w:eastAsia="仿宋_GB2312"/>
          <w:sz w:val="32"/>
          <w:szCs w:val="32"/>
        </w:rPr>
        <w:br w:type="textWrapping"/>
      </w:r>
      <w:r>
        <w:rPr>
          <w:rFonts w:ascii="仿宋_GB2312" w:eastAsia="仿宋_GB2312"/>
          <w:sz w:val="32"/>
          <w:szCs w:val="32"/>
        </w:rPr>
        <w:t xml:space="preserve">   2080506机关事业单位职业年金缴费支出9.58万元；</w:t>
      </w:r>
      <w:r>
        <w:rPr>
          <w:rFonts w:ascii="仿宋_GB2312" w:eastAsia="仿宋_GB2312"/>
          <w:sz w:val="32"/>
          <w:szCs w:val="32"/>
        </w:rPr>
        <w:br w:type="textWrapping"/>
      </w:r>
      <w:r>
        <w:rPr>
          <w:rFonts w:ascii="仿宋_GB2312" w:eastAsia="仿宋_GB2312"/>
          <w:sz w:val="32"/>
          <w:szCs w:val="32"/>
        </w:rPr>
        <w:t xml:space="preserve">   2210201住房公积金支出30.03万元。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年度一般公共预算财政拨款基本支出445.63万元，其中：</w:t>
      </w:r>
    </w:p>
    <w:p>
      <w:pPr>
        <w:ind w:firstLine="640" w:firstLineChars="200"/>
        <w:rPr>
          <w:rFonts w:ascii="仿宋_GB2312" w:eastAsia="仿宋_GB2312"/>
          <w:sz w:val="32"/>
          <w:szCs w:val="32"/>
        </w:rPr>
      </w:pPr>
      <w:r>
        <w:rPr>
          <w:rFonts w:hint="eastAsia" w:ascii="仿宋_GB2312" w:eastAsia="仿宋_GB2312"/>
          <w:sz w:val="32"/>
          <w:szCs w:val="32"/>
        </w:rPr>
        <w:t>人员经费432.61万元，包括：基本工资、津贴补贴、奖金、绩效工资、机关事业单位基本养老保险缴费、职业年金缴费、职工基本医疗保险缴费、其他社会保障缴费、住房公积金、退休费、生活补助、奖励金。</w:t>
      </w:r>
    </w:p>
    <w:p>
      <w:pPr>
        <w:ind w:firstLine="640" w:firstLineChars="200"/>
        <w:rPr>
          <w:rFonts w:ascii="仿宋_GB2312" w:eastAsia="仿宋_GB2312"/>
          <w:sz w:val="32"/>
          <w:szCs w:val="32"/>
        </w:rPr>
      </w:pPr>
      <w:r>
        <w:rPr>
          <w:rFonts w:hint="eastAsia" w:ascii="仿宋_GB2312" w:eastAsia="仿宋_GB2312"/>
          <w:sz w:val="32"/>
          <w:szCs w:val="32"/>
        </w:rPr>
        <w:t>公用经费13.02万元，包括：办公费、印刷费、手续费、水费、电费、邮电费、取暖费、物业管理费、差旅费、专用材料费、劳务费、公务用车运行维护费、其他商品和服务支出。</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0.27万元，比上年减少0.25万元，降低48.08%，主要原因是根据上级要求例行节约减少燃油支出。其中，因公出国（境）费支出0万元，占0%，比上年增加0万元，增长0%，主要原因是</w:t>
      </w:r>
      <w:r>
        <w:rPr>
          <w:rFonts w:hint="eastAsia" w:ascii="仿宋_GB2312" w:eastAsia="仿宋_GB2312"/>
          <w:sz w:val="32"/>
          <w:szCs w:val="32"/>
          <w:lang w:eastAsia="zh-CN"/>
        </w:rPr>
        <w:t>与上年相比无变动，与上年一致</w:t>
      </w:r>
      <w:r>
        <w:rPr>
          <w:rFonts w:hint="eastAsia" w:ascii="仿宋_GB2312" w:eastAsia="仿宋_GB2312"/>
          <w:sz w:val="32"/>
          <w:szCs w:val="32"/>
        </w:rPr>
        <w:t>；公务用车购置及运行维护费支出0.27万元，占100%，比上年减少0.25万元，降低48.08%，主要原因是根据上级要求例行节约减少燃油支出；公务接待费支出0万元，占0%，比上年增加0万元，增长0%，主要原因是</w:t>
      </w:r>
      <w:r>
        <w:rPr>
          <w:rFonts w:hint="eastAsia" w:ascii="仿宋_GB2312" w:eastAsia="仿宋_GB2312"/>
          <w:sz w:val="32"/>
          <w:szCs w:val="32"/>
          <w:lang w:eastAsia="zh-CN"/>
        </w:rPr>
        <w:t>与上年相比无变动，与上年一致</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14:textFill>
            <w14:solidFill>
              <w14:schemeClr w14:val="tx1"/>
            </w14:solidFill>
          </w14:textFill>
        </w:rPr>
        <w:t>预算未安排，无此项支出。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公务用车购置及运行维护费0.27万元，其中，公务用车购置费0万元，公务用车运行维护费0.27万元。公务用车运行维护费开支内容包括车辆保险费和车辆检测费。公务用车购置数0辆，公务用车保有量1辆。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1.30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0.27</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，预决算差异率-79.23%，主要原因是：根据上级要求例行节约减少燃油支出。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1.30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0.27</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，预决算差异率-79.23%，主要原因是：根据上级要求例行节约减少燃油支出；</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新疆喀什地区图书馆日常公用经费13.02万元，比上年增加1.62万元，增长14.21%，主要原因是专项活动工作经费增加。</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年度政府采购支出总额15.32万元，其中：政府采购货物支出15.07万元、政府采购工程支出0万元、政府采购服务支出0.25万元。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授予中小企业合同金额15.07万元，占政府采购支出总额的98.37%，其中：授予小微企业合同金额15.07万元，占政府采购支出总额的98.37%。</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年12月31日，单位共有房屋3,031（平方米），价值175.18万元。车辆1辆，价值19.50万元，其中：副部（省）级及以上领导用车0辆、主要领导干部用车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辆、执法执勤用车0辆、特种专业技术用车1辆、离退休干部用车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辆，其他用车主要是：</w:t>
      </w:r>
      <w:r>
        <w:rPr>
          <w:rFonts w:ascii="仿宋_GB2312" w:eastAsia="仿宋_GB2312"/>
          <w:color w:val="000000" w:themeColor="text1"/>
          <w:sz w:val="32"/>
          <w:szCs w:val="32"/>
          <w14:textFill>
            <w14:solidFill>
              <w14:schemeClr w14:val="tx1"/>
            </w14:solidFill>
          </w14:textFill>
        </w:rPr>
        <w:t>无其他用车；</w:t>
      </w:r>
      <w:r>
        <w:rPr>
          <w:rFonts w:hint="eastAsia" w:ascii="仿宋_GB2312" w:eastAsia="仿宋_GB2312"/>
          <w:sz w:val="32"/>
          <w:szCs w:val="32"/>
        </w:rPr>
        <w:t>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5个，共涉及资金78.12万元。预算绩效管理取得的成效：一是经济性评价：部门年度任务在预算资金额度内完成，并通过规范的招投标及严格的资金管理及项目管理及其他创新的管理措施实现了资金的节约。三公经费在预算范围内开支，开支范围较上年的变化，有节约。二是效率性评价：各项工作计划是按预期计划按时完成，效益是按预期时间产生。三是效益性评价：预期的经济效益、社会效益、可持续的影响是产生，达到相关人员的满意度。发现的问题及原因：一是对于绩效自评的认识不够深入，把预算绩效工作等同于工作目标与考核，没能很好的和业务管理进行挂钩，对三级指标的设定存在一定的偏差，缺乏可行性有特色的数据支持与分析测评。</w:t>
      </w:r>
      <w:r>
        <w:rPr>
          <w:rFonts w:hint="eastAsia" w:ascii="仿宋_GB2312" w:eastAsia="仿宋_GB2312"/>
          <w:sz w:val="32"/>
          <w:szCs w:val="32"/>
          <w:lang w:eastAsia="zh-CN"/>
        </w:rPr>
        <w:t>二是</w:t>
      </w:r>
      <w:r>
        <w:rPr>
          <w:rFonts w:hint="eastAsia" w:ascii="仿宋_GB2312" w:eastAsia="仿宋_GB2312"/>
          <w:sz w:val="32"/>
          <w:szCs w:val="32"/>
        </w:rPr>
        <w:t>通过预算绩效管理，发现免费开放实施后，基本运转资金量少，因此项目支出结构有待完善；</w:t>
      </w:r>
      <w:r>
        <w:rPr>
          <w:rFonts w:hint="eastAsia" w:ascii="仿宋_GB2312" w:eastAsia="仿宋_GB2312"/>
          <w:sz w:val="32"/>
          <w:szCs w:val="32"/>
          <w:lang w:eastAsia="zh-CN"/>
        </w:rPr>
        <w:t>三是</w:t>
      </w:r>
      <w:r>
        <w:rPr>
          <w:rFonts w:hint="eastAsia" w:ascii="仿宋_GB2312" w:eastAsia="仿宋_GB2312"/>
          <w:sz w:val="32"/>
          <w:szCs w:val="32"/>
        </w:rPr>
        <w:t>中央补助地方免费开放工作项目资料不太完整，有待于进一步完善。同时，项目启动时应同步做好档案的归纳与整理，及时整理、收集、汇总，健全档案资料。把整理好的档案及时归档，建立《档案管理办法》，并严格按此办法实施，在接下来的工作中做到有据可查。下一步改进措施：一是加强绩效自评管理制度和流程的建设，进一步深化、完善绩效管理体系，建立全过程的预算绩效管理机制，促进绩效管理工作向广度和深度延伸。</w:t>
      </w:r>
      <w:r>
        <w:rPr>
          <w:rFonts w:hint="eastAsia" w:ascii="仿宋_GB2312" w:eastAsia="仿宋_GB2312"/>
          <w:sz w:val="32"/>
          <w:szCs w:val="32"/>
          <w:lang w:eastAsia="zh-CN"/>
        </w:rPr>
        <w:t>二是</w:t>
      </w:r>
      <w:r>
        <w:rPr>
          <w:rFonts w:hint="eastAsia" w:ascii="仿宋_GB2312" w:eastAsia="仿宋_GB2312"/>
          <w:sz w:val="32"/>
          <w:szCs w:val="32"/>
        </w:rPr>
        <w:t>规范绩效自评管理资料的收集整理，确保相关信息的完整、可靠、客观公正的反映项目资金实际使用和产生的绩效状况，为今后项目实施方向及管理方式的改进提供指导。</w:t>
      </w:r>
      <w:bookmarkStart w:id="54" w:name="_GoBack"/>
      <w:bookmarkEnd w:id="54"/>
      <w:r>
        <w:rPr>
          <w:rFonts w:hint="eastAsia" w:ascii="仿宋_GB2312" w:eastAsia="仿宋_GB2312"/>
          <w:sz w:val="32"/>
          <w:szCs w:val="32"/>
        </w:rPr>
        <w:t>具体项目自评情况附项目支出绩效自评表。</w:t>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val="1"/>
  <w:bordersDoNotSurroundFooter w:val="1"/>
  <w:documentProtection w:edit="comments" w:enforcement="1" w:cryptProviderType="rsaFull" w:cryptAlgorithmClass="hash" w:cryptAlgorithmType="typeAny" w:cryptAlgorithmSid="4" w:cryptSpinCount="0" w:hash="NBD+L2XL/XrcZMtghIRKYEQXKA4=" w:salt="RflKW8I9N02qnHxx/KB90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E43F43"/>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5C3812CF"/>
    <w:rsid w:val="68EA316A"/>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1034</Words>
  <Characters>5894</Characters>
  <Lines>49</Lines>
  <Paragraphs>13</Paragraphs>
  <TotalTime>4</TotalTime>
  <ScaleCrop>false</ScaleCrop>
  <LinksUpToDate>false</LinksUpToDate>
  <CharactersWithSpaces>6915</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Administrator</cp:lastModifiedBy>
  <dcterms:modified xsi:type="dcterms:W3CDTF">2020-09-10T14:49:15Z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