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新疆喀什地区文物局2019年度部门决算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负责编制地区文物保护事业的中长期发展计划并组织实施,指导全地区文物保护管理机构的业务工作;申报国家级,自治区级文物保护单位,审核,申报文物的抢救性考古发掘,保护维修项目,组织或参与大型文物保护工程的施工及验收监督检查专项经费的使用情况;参与地区大中型基本建设项目中的文物保护工作;配合有关部门查处有关文物的违法,违章案件;负责管理流散文物及其经营活动,对旧货市场进行文物监管，从事喀什地区文物考古研究,用实务和研究强化“五个认同”;开展非物质文化遗产保护工作，指导全地区文物保护单位宣传工作，激活优秀中华传统文化，增强社会主义核心价值观;指导全区对外开放文物保护单位及全区文物领域公共文化服务体系建设，保障人民群众公共文化需求;负责对具有历史、艺术、科学价值的可移动文物的征集、收藏、保管、陈列、展示;利用馆藏文物和博物馆阵地开展爱国主义宣传教育活动,对馆藏文物进行科学管理、科学保护、整理研究。</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新疆喀什地区文物局2</w:t>
      </w:r>
      <w:r>
        <w:rPr>
          <w:rFonts w:ascii="仿宋_GB2312" w:eastAsia="仿宋_GB2312"/>
          <w:sz w:val="32"/>
          <w:szCs w:val="32"/>
        </w:rPr>
        <w:t>019</w:t>
      </w:r>
      <w:r>
        <w:rPr>
          <w:rFonts w:hint="eastAsia" w:ascii="仿宋_GB2312" w:eastAsia="仿宋_GB2312"/>
          <w:sz w:val="32"/>
          <w:szCs w:val="32"/>
        </w:rPr>
        <w:t>年度，实有人数38人，其中：在职人员26人，离休人员0人，退休人员12人。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从部门决算单位构成看，新疆喀什地区文物局部门决算包括：新疆喀什地区文物局决算。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2019年度本年收入600.07万元，与上年相比，减少389.78万元，下降39.38%，主要原因是：</w:t>
      </w:r>
      <w:r>
        <w:rPr>
          <w:rFonts w:hint="eastAsia" w:ascii="仿宋_GB2312" w:eastAsia="仿宋_GB2312"/>
          <w:color w:val="000000" w:themeColor="text1"/>
          <w:sz w:val="32"/>
          <w:szCs w:val="32"/>
        </w:rPr>
        <w:t>减少野外看护员补助项目资金、预防性保护项目资金、文物展柜项目资金。</w:t>
      </w:r>
      <w:r>
        <w:rPr>
          <w:rFonts w:hint="eastAsia" w:ascii="仿宋_GB2312" w:eastAsia="仿宋_GB2312"/>
          <w:sz w:val="32"/>
          <w:szCs w:val="32"/>
        </w:rPr>
        <w:t>本年支出644.55万元，与上年相比，减少445.89万元，下降40.89%，主要原因是：</w:t>
      </w:r>
      <w:r>
        <w:rPr>
          <w:rFonts w:hint="eastAsia" w:ascii="仿宋_GB2312" w:eastAsia="仿宋_GB2312"/>
          <w:color w:val="000000" w:themeColor="text1"/>
          <w:sz w:val="32"/>
          <w:szCs w:val="32"/>
        </w:rPr>
        <w:t>减少野外看护员补助项目资金、预防性保护项目资金、文物展柜项目资金。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年度本年收入600.07万元，其中：财政拨款收入600.07万元，占100%；上级补助收入0万元，占0%；事业收入0万元，占0%；经营收入0万元，占0%；附属单位上缴收入0万元，占0%；其他收入0万元，占0%。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2019年度本年支出644.55万元，其中：基本支出394.41万元，占61.19%；项目支出250.14万元，占38.81%；上缴上级支出0万元，占0%；经营支出0万元，占0%；对附属单位补助支出0万元，占0%。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600.07万元，与上年相比，减少356.78万元，下降37.29%，主要原因是：减少野外看护员补助项目资金、预防性保护项目资金、文物展柜项目资金。财政拨款支出600.07万元，与上年相比，减少421.56万元，下降41.26%，主要原因是：</w:t>
      </w:r>
      <w:r>
        <w:rPr>
          <w:rFonts w:ascii="仿宋_GB2312" w:eastAsia="仿宋_GB2312"/>
          <w:sz w:val="32"/>
          <w:szCs w:val="32"/>
        </w:rPr>
        <w:t>减少野外看护员补助项目资金、预防性保护项目资金、文物展柜项目资金。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rPr>
        <w:t>419.89</w:t>
      </w:r>
      <w:r>
        <w:rPr>
          <w:rFonts w:hint="eastAsia" w:ascii="仿宋_GB2312" w:eastAsia="仿宋_GB2312"/>
          <w:sz w:val="32"/>
          <w:szCs w:val="32"/>
        </w:rPr>
        <w:t>万元，决算数600.07万元</w:t>
      </w:r>
      <w:r>
        <w:rPr>
          <w:rFonts w:ascii="仿宋_GB2312" w:eastAsia="仿宋_GB2312"/>
          <w:color w:val="000000" w:themeColor="text1"/>
          <w:sz w:val="32"/>
          <w:szCs w:val="32"/>
        </w:rPr>
        <w:t>，预决算差异率42.91%，主要原因是：增加预防性保护项目资金、博物馆展柜项目资金、流动博物馆项目资金、文物保护标识牌项目资金、烽燧维修项目资金、博物馆免费开放资金项目资金。</w:t>
      </w:r>
      <w:r>
        <w:rPr>
          <w:rFonts w:hint="eastAsia" w:ascii="仿宋_GB2312" w:eastAsia="仿宋_GB2312"/>
          <w:sz w:val="32"/>
          <w:szCs w:val="32"/>
        </w:rPr>
        <w:t>财政拨款支出年初预算数</w:t>
      </w:r>
      <w:r>
        <w:rPr>
          <w:rFonts w:ascii="仿宋_GB2312" w:eastAsia="仿宋_GB2312"/>
          <w:color w:val="000000" w:themeColor="text1"/>
          <w:sz w:val="32"/>
          <w:szCs w:val="32"/>
        </w:rPr>
        <w:t>511.89</w:t>
      </w:r>
      <w:r>
        <w:rPr>
          <w:rFonts w:hint="eastAsia" w:ascii="仿宋_GB2312" w:eastAsia="仿宋_GB2312"/>
          <w:sz w:val="32"/>
          <w:szCs w:val="32"/>
        </w:rPr>
        <w:t>万元，决算数600.07万元</w:t>
      </w:r>
      <w:r>
        <w:rPr>
          <w:rFonts w:ascii="仿宋_GB2312" w:eastAsia="仿宋_GB2312"/>
          <w:color w:val="000000" w:themeColor="text1"/>
          <w:sz w:val="32"/>
          <w:szCs w:val="32"/>
        </w:rPr>
        <w:t>，预决算差异率17.23%，主要原因是：增加预防性保护项目资金、博物馆展柜项目资金、流动博物馆项目资金、文物保护标识牌项目资金、烽燧维修项目资金、博物馆免费开放资金项目资金。</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年度一般公共预算财政拨款支出600.07万元。按功能分类科目项级科目公开，其中：</w:t>
      </w:r>
    </w:p>
    <w:p>
      <w:pPr>
        <w:rPr>
          <w:rFonts w:ascii="仿宋_GB2312" w:eastAsia="仿宋_GB2312"/>
          <w:sz w:val="32"/>
          <w:szCs w:val="32"/>
        </w:rPr>
      </w:pPr>
      <w:r>
        <w:rPr>
          <w:rFonts w:ascii="仿宋_GB2312" w:eastAsia="仿宋_GB2312"/>
          <w:sz w:val="32"/>
          <w:szCs w:val="32"/>
        </w:rPr>
        <w:t xml:space="preserve">   2070204文物保护支出42.39万元；</w:t>
      </w:r>
      <w:r>
        <w:rPr>
          <w:rFonts w:ascii="仿宋_GB2312" w:eastAsia="仿宋_GB2312"/>
          <w:sz w:val="32"/>
          <w:szCs w:val="32"/>
        </w:rPr>
        <w:br w:type="textWrapping"/>
      </w:r>
      <w:r>
        <w:rPr>
          <w:rFonts w:ascii="仿宋_GB2312" w:eastAsia="仿宋_GB2312"/>
          <w:sz w:val="32"/>
          <w:szCs w:val="32"/>
        </w:rPr>
        <w:t xml:space="preserve">   2070205博物馆支出100.26万元；</w:t>
      </w:r>
      <w:r>
        <w:rPr>
          <w:rFonts w:ascii="仿宋_GB2312" w:eastAsia="仿宋_GB2312"/>
          <w:sz w:val="32"/>
          <w:szCs w:val="32"/>
        </w:rPr>
        <w:br w:type="textWrapping"/>
      </w:r>
      <w:r>
        <w:rPr>
          <w:rFonts w:ascii="仿宋_GB2312" w:eastAsia="仿宋_GB2312"/>
          <w:sz w:val="32"/>
          <w:szCs w:val="32"/>
        </w:rPr>
        <w:t xml:space="preserve">   2070299其他文物支出328.12万元；</w:t>
      </w:r>
      <w:r>
        <w:rPr>
          <w:rFonts w:ascii="仿宋_GB2312" w:eastAsia="仿宋_GB2312"/>
          <w:sz w:val="32"/>
          <w:szCs w:val="32"/>
        </w:rPr>
        <w:br w:type="textWrapping"/>
      </w:r>
      <w:r>
        <w:rPr>
          <w:rFonts w:ascii="仿宋_GB2312" w:eastAsia="仿宋_GB2312"/>
          <w:sz w:val="32"/>
          <w:szCs w:val="32"/>
        </w:rPr>
        <w:t xml:space="preserve">   2079999其他文化体育与传媒支出63.01万元；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2080505机关事业单位基本养老保险缴费支出34.30万元；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2080506机关事业单位职业年金缴费支出4.29万元；</w:t>
      </w:r>
      <w:r>
        <w:rPr>
          <w:rFonts w:ascii="仿宋_GB2312" w:eastAsia="仿宋_GB2312"/>
          <w:sz w:val="32"/>
          <w:szCs w:val="32"/>
        </w:rPr>
        <w:br w:type="textWrapping"/>
      </w:r>
      <w:r>
        <w:rPr>
          <w:rFonts w:ascii="仿宋_GB2312" w:eastAsia="仿宋_GB2312"/>
          <w:sz w:val="32"/>
          <w:szCs w:val="32"/>
        </w:rPr>
        <w:t xml:space="preserve">   2210201住房公积金支出27.70万元。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年度一般公共预算财政拨款基本支出394.41万元，其中：</w:t>
      </w:r>
    </w:p>
    <w:p>
      <w:pPr>
        <w:ind w:firstLine="640" w:firstLineChars="200"/>
        <w:rPr>
          <w:rFonts w:ascii="仿宋_GB2312" w:eastAsia="仿宋_GB2312"/>
          <w:sz w:val="32"/>
          <w:szCs w:val="32"/>
        </w:rPr>
      </w:pPr>
      <w:r>
        <w:rPr>
          <w:rFonts w:hint="eastAsia" w:ascii="仿宋_GB2312" w:eastAsia="仿宋_GB2312"/>
          <w:sz w:val="32"/>
          <w:szCs w:val="32"/>
        </w:rPr>
        <w:t>人员经费383.39万元，包括：基本工资、津贴补贴、奖金、绩效工资、机关事业单位基本养老保险缴费、职业年金缴费、职工基本医疗保险缴费、其他社会保障缴费、住房公积金、其他工资福利支出、退休费、生活补助、奖励金、其他对个人和家庭的补助。</w:t>
      </w:r>
    </w:p>
    <w:p>
      <w:pPr>
        <w:ind w:firstLine="640" w:firstLineChars="200"/>
        <w:rPr>
          <w:rFonts w:ascii="仿宋_GB2312" w:eastAsia="仿宋_GB2312"/>
          <w:sz w:val="32"/>
          <w:szCs w:val="32"/>
        </w:rPr>
      </w:pPr>
      <w:r>
        <w:rPr>
          <w:rFonts w:hint="eastAsia" w:ascii="仿宋_GB2312" w:eastAsia="仿宋_GB2312"/>
          <w:sz w:val="32"/>
          <w:szCs w:val="32"/>
        </w:rPr>
        <w:t>公用经费11.02万元，包括：办公费、手续费、邮电费、</w:t>
      </w:r>
      <w:bookmarkStart w:id="54" w:name="_GoBack"/>
      <w:bookmarkEnd w:id="54"/>
      <w:r>
        <w:rPr>
          <w:rFonts w:hint="eastAsia" w:ascii="仿宋_GB2312" w:eastAsia="仿宋_GB2312"/>
          <w:sz w:val="32"/>
          <w:szCs w:val="32"/>
        </w:rPr>
        <w:t>取暖费、差旅费、租赁费、劳务费、公务用车运行维护费</w:t>
      </w:r>
      <w:r>
        <w:rPr>
          <w:rFonts w:hint="eastAsia" w:ascii="仿宋_GB2312" w:eastAsia="仿宋_GB2312"/>
          <w:sz w:val="32"/>
          <w:szCs w:val="32"/>
          <w:lang w:eastAsia="zh-CN"/>
        </w:rPr>
        <w:t>、办公设备购置</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2.60万元，比上年增加0万元，增长0%，主要原因是与上年相比无变动，与上年一致。其中，因公出国（境）费支出0万元，占0%，比上年增加0万元，增长0%，主要原因是与上年相比无变动，与上年一致；公务用车购置及运行维护费支出2.60万元，占100%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2.60万元，其中，公务用车购置费0万元，公务用车运行维护费2.60万元。公务用车运行维护费开支内容包括车辆燃油费、维护费、过路费、保险费。公务用车购置数0辆，公务用车保有量1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rPr>
        <w:t>2.60</w:t>
      </w:r>
      <w:r>
        <w:rPr>
          <w:rFonts w:hint="eastAsia" w:ascii="仿宋_GB2312" w:eastAsia="仿宋_GB2312"/>
          <w:sz w:val="32"/>
          <w:szCs w:val="32"/>
        </w:rPr>
        <w:t>万元，决算数</w:t>
      </w:r>
      <w:r>
        <w:rPr>
          <w:rFonts w:hint="eastAsia" w:ascii="仿宋_GB2312" w:eastAsia="仿宋_GB2312"/>
          <w:color w:val="000000" w:themeColor="text1"/>
          <w:sz w:val="32"/>
          <w:szCs w:val="32"/>
        </w:rPr>
        <w:t>2.60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w:t>
      </w:r>
      <w:r>
        <w:rPr>
          <w:rFonts w:hint="eastAsia" w:ascii="仿宋_GB2312" w:eastAsia="仿宋_GB2312"/>
          <w:color w:val="000000" w:themeColor="text1"/>
          <w:sz w:val="32"/>
          <w:szCs w:val="32"/>
        </w:rPr>
        <w:t>严格按照预算执行，</w:t>
      </w:r>
      <w:r>
        <w:rPr>
          <w:rFonts w:ascii="仿宋_GB2312" w:eastAsia="仿宋_GB2312"/>
          <w:color w:val="000000" w:themeColor="text1"/>
          <w:sz w:val="32"/>
          <w:szCs w:val="32"/>
        </w:rPr>
        <w:t>预算</w:t>
      </w:r>
      <w:r>
        <w:rPr>
          <w:rFonts w:hint="eastAsia" w:ascii="仿宋_GB2312" w:eastAsia="仿宋_GB2312"/>
          <w:color w:val="000000" w:themeColor="text1"/>
          <w:sz w:val="32"/>
          <w:szCs w:val="32"/>
        </w:rPr>
        <w:t>数与决算数一致</w:t>
      </w:r>
      <w:r>
        <w:rPr>
          <w:rFonts w:ascii="仿宋_GB2312" w:eastAsia="仿宋_GB2312"/>
          <w:color w:val="000000" w:themeColor="text1"/>
          <w:sz w:val="32"/>
          <w:szCs w:val="32"/>
        </w:rPr>
        <w:t>，</w:t>
      </w:r>
      <w:r>
        <w:rPr>
          <w:rFonts w:hint="eastAsia" w:ascii="仿宋_GB2312" w:eastAsia="仿宋_GB2312"/>
          <w:color w:val="000000" w:themeColor="text1"/>
          <w:sz w:val="32"/>
          <w:szCs w:val="32"/>
        </w:rPr>
        <w:t>无差异</w:t>
      </w:r>
      <w:r>
        <w:rPr>
          <w:rFonts w:ascii="仿宋_GB2312" w:eastAsia="仿宋_GB2312"/>
          <w:color w:val="000000" w:themeColor="text1"/>
          <w:sz w:val="32"/>
          <w:szCs w:val="32"/>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rPr>
        <w:t>0</w:t>
      </w:r>
      <w:r>
        <w:rPr>
          <w:rFonts w:hint="eastAsia" w:ascii="仿宋_GB2312" w:eastAsia="仿宋_GB2312"/>
          <w:sz w:val="32"/>
          <w:szCs w:val="32"/>
        </w:rPr>
        <w:t>万元，决算数</w:t>
      </w:r>
      <w:r>
        <w:rPr>
          <w:rFonts w:hint="eastAsia" w:ascii="仿宋_GB2312" w:eastAsia="仿宋_GB2312"/>
          <w:color w:val="000000" w:themeColor="text1"/>
          <w:sz w:val="32"/>
          <w:szCs w:val="32"/>
        </w:rPr>
        <w:t>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rPr>
        <w:t>0</w:t>
      </w:r>
      <w:r>
        <w:rPr>
          <w:rFonts w:hint="eastAsia" w:ascii="仿宋_GB2312" w:eastAsia="仿宋_GB2312"/>
          <w:sz w:val="32"/>
          <w:szCs w:val="32"/>
        </w:rPr>
        <w:t>万元，决算数</w:t>
      </w:r>
      <w:r>
        <w:rPr>
          <w:rFonts w:ascii="仿宋_GB2312" w:eastAsia="仿宋_GB2312"/>
          <w:color w:val="000000" w:themeColor="text1"/>
          <w:sz w:val="32"/>
          <w:szCs w:val="32"/>
        </w:rPr>
        <w:t>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rPr>
        <w:t>2.60</w:t>
      </w:r>
      <w:r>
        <w:rPr>
          <w:rFonts w:hint="eastAsia" w:ascii="仿宋_GB2312" w:eastAsia="仿宋_GB2312"/>
          <w:sz w:val="32"/>
          <w:szCs w:val="32"/>
        </w:rPr>
        <w:t>万元，决算数</w:t>
      </w:r>
      <w:r>
        <w:rPr>
          <w:rFonts w:ascii="仿宋_GB2312" w:eastAsia="仿宋_GB2312"/>
          <w:color w:val="000000" w:themeColor="text1"/>
          <w:sz w:val="32"/>
          <w:szCs w:val="32"/>
        </w:rPr>
        <w:t>2.60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w:t>
      </w:r>
      <w:r>
        <w:rPr>
          <w:rFonts w:hint="eastAsia" w:ascii="仿宋_GB2312" w:eastAsia="仿宋_GB2312"/>
          <w:color w:val="000000" w:themeColor="text1"/>
          <w:sz w:val="32"/>
          <w:szCs w:val="32"/>
        </w:rPr>
        <w:t>严格按照预算执行，</w:t>
      </w:r>
      <w:r>
        <w:rPr>
          <w:rFonts w:ascii="仿宋_GB2312" w:eastAsia="仿宋_GB2312"/>
          <w:color w:val="000000" w:themeColor="text1"/>
          <w:sz w:val="32"/>
          <w:szCs w:val="32"/>
        </w:rPr>
        <w:t>预算</w:t>
      </w:r>
      <w:r>
        <w:rPr>
          <w:rFonts w:hint="eastAsia" w:ascii="仿宋_GB2312" w:eastAsia="仿宋_GB2312"/>
          <w:color w:val="000000" w:themeColor="text1"/>
          <w:sz w:val="32"/>
          <w:szCs w:val="32"/>
        </w:rPr>
        <w:t>数与决算数一致</w:t>
      </w:r>
      <w:r>
        <w:rPr>
          <w:rFonts w:ascii="仿宋_GB2312" w:eastAsia="仿宋_GB2312"/>
          <w:color w:val="000000" w:themeColor="text1"/>
          <w:sz w:val="32"/>
          <w:szCs w:val="32"/>
        </w:rPr>
        <w:t>，</w:t>
      </w:r>
      <w:r>
        <w:rPr>
          <w:rFonts w:hint="eastAsia" w:ascii="仿宋_GB2312" w:eastAsia="仿宋_GB2312"/>
          <w:color w:val="000000" w:themeColor="text1"/>
          <w:sz w:val="32"/>
          <w:szCs w:val="32"/>
        </w:rPr>
        <w:t>无差异</w:t>
      </w:r>
      <w:r>
        <w:rPr>
          <w:rFonts w:ascii="仿宋_GB2312" w:eastAsia="仿宋_GB2312"/>
          <w:color w:val="000000" w:themeColor="text1"/>
          <w:sz w:val="32"/>
          <w:szCs w:val="32"/>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rPr>
        <w:t>0</w:t>
      </w:r>
      <w:r>
        <w:rPr>
          <w:rFonts w:hint="eastAsia" w:ascii="仿宋_GB2312" w:eastAsia="仿宋_GB2312"/>
          <w:sz w:val="32"/>
          <w:szCs w:val="32"/>
        </w:rPr>
        <w:t>万元，决算数</w:t>
      </w:r>
      <w:r>
        <w:rPr>
          <w:rFonts w:hint="eastAsia" w:ascii="仿宋_GB2312" w:eastAsia="仿宋_GB2312"/>
          <w:color w:val="000000" w:themeColor="text1"/>
          <w:sz w:val="32"/>
          <w:szCs w:val="32"/>
        </w:rPr>
        <w:t>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rPr>
        <w:t>2019年度新疆喀什地区文物局机关运行经费支出11.02万元，比上年增加3.07万元，增长38.62%，主要原因是增加专项活动经费。</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年度政府采购支出总额75.50万元，其中：政府采购货物支出12.90万元、政府采购工程支出0万元、政府采购服务支出62.60万元。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授予中小企业合同金额75.50万元，占政府采购支出总额的100%，其中：授予小微企业合同金额75.50万元，占政府采购支出总额的100%。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年12月31日，单位共有房屋2,360（平方米），价值192.01万元。车辆1辆，价值11.98万元，其中：副部（省）级及以上领导用车0辆、主要领导干部用车</w:t>
      </w:r>
      <w:r>
        <w:rPr>
          <w:rFonts w:ascii="仿宋_GB2312" w:eastAsia="仿宋_GB2312"/>
          <w:color w:val="000000" w:themeColor="text1"/>
          <w:sz w:val="32"/>
          <w:szCs w:val="32"/>
        </w:rPr>
        <w:t>0</w:t>
      </w:r>
      <w:r>
        <w:rPr>
          <w:rFonts w:hint="eastAsia" w:ascii="仿宋_GB2312" w:eastAsia="仿宋_GB2312"/>
          <w:sz w:val="32"/>
          <w:szCs w:val="32"/>
        </w:rPr>
        <w:t>辆、机要通信用车</w:t>
      </w:r>
      <w:r>
        <w:rPr>
          <w:rFonts w:ascii="仿宋_GB2312" w:eastAsia="仿宋_GB2312"/>
          <w:color w:val="000000" w:themeColor="text1"/>
          <w:sz w:val="32"/>
          <w:szCs w:val="32"/>
        </w:rPr>
        <w:t>0</w:t>
      </w:r>
      <w:r>
        <w:rPr>
          <w:rFonts w:hint="eastAsia" w:ascii="仿宋_GB2312" w:eastAsia="仿宋_GB2312"/>
          <w:sz w:val="32"/>
          <w:szCs w:val="32"/>
        </w:rPr>
        <w:t>辆、应急保障用车</w:t>
      </w:r>
      <w:r>
        <w:rPr>
          <w:rFonts w:ascii="仿宋_GB2312" w:eastAsia="仿宋_GB2312"/>
          <w:color w:val="000000" w:themeColor="text1"/>
          <w:sz w:val="32"/>
          <w:szCs w:val="32"/>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rPr>
        <w:t>0</w:t>
      </w:r>
      <w:r>
        <w:rPr>
          <w:rFonts w:hint="eastAsia" w:ascii="仿宋_GB2312" w:eastAsia="仿宋_GB2312"/>
          <w:sz w:val="32"/>
          <w:szCs w:val="32"/>
        </w:rPr>
        <w:t>辆、其他用车</w:t>
      </w:r>
      <w:r>
        <w:rPr>
          <w:rFonts w:ascii="仿宋_GB2312" w:eastAsia="仿宋_GB2312"/>
          <w:color w:val="000000" w:themeColor="text1"/>
          <w:sz w:val="32"/>
          <w:szCs w:val="32"/>
        </w:rPr>
        <w:t>1</w:t>
      </w:r>
      <w:r>
        <w:rPr>
          <w:rFonts w:hint="eastAsia" w:ascii="仿宋_GB2312" w:eastAsia="仿宋_GB2312"/>
          <w:sz w:val="32"/>
          <w:szCs w:val="32"/>
        </w:rPr>
        <w:t>辆，其他用车主要是：单位一般</w:t>
      </w:r>
      <w:r>
        <w:rPr>
          <w:rFonts w:ascii="仿宋_GB2312" w:eastAsia="仿宋_GB2312"/>
          <w:color w:val="000000" w:themeColor="text1"/>
          <w:sz w:val="32"/>
          <w:szCs w:val="32"/>
        </w:rPr>
        <w:t>公务用车；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8个，共涉及资金205.64万元。预算绩效管理取得的成效：一是经济性评价：部门年度任务是在预算资金额度内完成，并通过规范的招投标及严格的资金管理及项目管理及其他创新的管理措施实现了资金的节约。三公经费是在预算范围内开支，开支范围较上年的变化，是有节约；二是效率性评价：各项工作计划是按预期计划按时完成，效益是按预期时间产生；三是效益性评价：预期的经济效益、社会效益、可持续的影响是产生，相关人员的满意度达到预期目标。发现的问题及原因：一是通过预算绩效管理，发现了工作中存在的不足，资金使用未按期支付，导致了资金滞缓，影响了项目的进度；二是专项项目管理要加快。下一步改进措施：一是加强财务管理，严格财务审核。在费用报账支付时，按照预算规定的费用项目和用途进行资金使用审核、列报支付、财务核算，杜绝超支现象的发生；二是加强项目开展进度的跟踪，开展项目绩效评价，确保项目绩效目标的完成。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ReiRv8qkNzWtdmzWY3eXtC7o1FI=" w:salt="H9xpc495HdR094BadNfDrQ=="/>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215FB"/>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5C312C"/>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92B0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15DC6"/>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0E553829"/>
    <w:rsid w:val="1DAF458D"/>
    <w:rsid w:val="1FDE402A"/>
    <w:rsid w:val="256F3B57"/>
    <w:rsid w:val="28C40BC6"/>
    <w:rsid w:val="2A053397"/>
    <w:rsid w:val="2D1136DF"/>
    <w:rsid w:val="31C63837"/>
    <w:rsid w:val="3D5275AC"/>
    <w:rsid w:val="46901EEE"/>
    <w:rsid w:val="469C74D2"/>
    <w:rsid w:val="4C192B35"/>
    <w:rsid w:val="50DB5F45"/>
    <w:rsid w:val="69AD798C"/>
    <w:rsid w:val="6B68175F"/>
    <w:rsid w:val="73FB6630"/>
    <w:rsid w:val="77ED6F44"/>
    <w:rsid w:val="7B2D33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905</Words>
  <Characters>5162</Characters>
  <Lines>43</Lines>
  <Paragraphs>12</Paragraphs>
  <TotalTime>1</TotalTime>
  <ScaleCrop>false</ScaleCrop>
  <LinksUpToDate>false</LinksUpToDate>
  <CharactersWithSpaces>6055</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2021-07-11T07:42:20Z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