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喀什地区喀什地区文物局博物馆暖气费项目支出绩效评价报告</w:t>
      </w: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firstLine="1424" w:firstLineChars="4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</w:rPr>
        <w:t>博物馆暖气费项目</w:t>
      </w:r>
    </w:p>
    <w:p>
      <w:pPr>
        <w:autoSpaceDE w:val="0"/>
        <w:autoSpaceDN w:val="0"/>
        <w:spacing w:line="540" w:lineRule="exact"/>
        <w:ind w:firstLine="1424" w:firstLineChars="4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实施单位：喀什地区文物局</w:t>
      </w:r>
    </w:p>
    <w:p>
      <w:pPr>
        <w:autoSpaceDE w:val="0"/>
        <w:autoSpaceDN w:val="0"/>
        <w:spacing w:line="540" w:lineRule="exact"/>
        <w:ind w:firstLine="1424" w:firstLineChars="4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评价部门：喀什地区文物局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spacing w:beforeLines="50" w:afterLines="50" w:line="600" w:lineRule="exact"/>
        <w:jc w:val="both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</w:rPr>
      </w:pPr>
    </w:p>
    <w:p>
      <w:pPr>
        <w:spacing w:beforeLines="5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</w:rPr>
      </w:pPr>
    </w:p>
    <w:p>
      <w:pPr>
        <w:pStyle w:val="22"/>
        <w:numPr>
          <w:ilvl w:val="0"/>
          <w:numId w:val="2"/>
        </w:numPr>
        <w:ind w:firstLineChars="0"/>
      </w:pPr>
      <w:r>
        <w:rPr>
          <w:rFonts w:hint="eastAsia"/>
        </w:rPr>
        <w:t>基本情况</w:t>
      </w:r>
    </w:p>
    <w:p>
      <w:pPr>
        <w:pStyle w:val="24"/>
        <w:ind w:left="0" w:firstLine="643" w:firstLineChars="200"/>
      </w:pPr>
      <w:bookmarkStart w:id="0" w:name="_Toc26401549"/>
      <w:r>
        <w:rPr>
          <w:rFonts w:hint="eastAsia"/>
        </w:rPr>
        <w:t>项目概况</w:t>
      </w:r>
      <w:bookmarkEnd w:id="0"/>
    </w:p>
    <w:p>
      <w:pPr>
        <w:pStyle w:val="18"/>
        <w:numPr>
          <w:ilvl w:val="0"/>
          <w:numId w:val="3"/>
        </w:numPr>
        <w:spacing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项目背景及立项依据</w:t>
      </w:r>
    </w:p>
    <w:p>
      <w:pPr>
        <w:spacing w:beforeLines="50" w:line="600" w:lineRule="exact"/>
        <w:ind w:firstLine="645"/>
        <w:rPr>
          <w:rFonts w:ascii="仿宋" w:hAnsi="仿宋" w:eastAsia="仿宋"/>
          <w:sz w:val="30"/>
        </w:rPr>
      </w:pPr>
      <w:r>
        <w:rPr>
          <w:rFonts w:hint="eastAsia" w:ascii="仿宋" w:hAnsi="仿宋" w:eastAsia="仿宋"/>
          <w:sz w:val="30"/>
        </w:rPr>
        <w:t>本项目依据喀财专报</w:t>
      </w:r>
      <w:r>
        <w:rPr>
          <w:rFonts w:hint="eastAsia" w:ascii="仿宋" w:hAnsi="仿宋" w:eastAsia="仿宋" w:cs="仿宋"/>
          <w:sz w:val="32"/>
          <w:szCs w:val="32"/>
        </w:rPr>
        <w:t>【</w:t>
      </w:r>
      <w:r>
        <w:rPr>
          <w:rFonts w:ascii="仿宋" w:hAnsi="仿宋" w:eastAsia="仿宋" w:cs="仿宋"/>
          <w:sz w:val="32"/>
          <w:szCs w:val="32"/>
        </w:rPr>
        <w:t>201</w:t>
      </w:r>
      <w:r>
        <w:rPr>
          <w:rFonts w:hint="eastAsia" w:ascii="仿宋" w:hAnsi="仿宋" w:eastAsia="仿宋" w:cs="仿宋"/>
          <w:sz w:val="32"/>
          <w:szCs w:val="32"/>
        </w:rPr>
        <w:t>9】685</w:t>
      </w:r>
      <w:r>
        <w:rPr>
          <w:rFonts w:hint="eastAsia" w:ascii="仿宋" w:hAnsi="仿宋" w:eastAsia="仿宋"/>
          <w:sz w:val="30"/>
        </w:rPr>
        <w:t>号文件</w:t>
      </w:r>
      <w:r>
        <w:rPr>
          <w:rFonts w:hint="eastAsia" w:ascii="仿宋_GB2312" w:hAnsi="仿宋" w:eastAsia="仿宋_GB2312" w:cs="宋体"/>
          <w:sz w:val="32"/>
          <w:szCs w:val="32"/>
        </w:rPr>
        <w:t>精神</w:t>
      </w:r>
      <w:r>
        <w:rPr>
          <w:rFonts w:hint="eastAsia" w:ascii="仿宋" w:hAnsi="仿宋" w:eastAsia="仿宋"/>
          <w:sz w:val="30"/>
        </w:rPr>
        <w:t>申请立项，该项目为保证博物日常运转,提高博物馆展览服务能力，提升服务质量。</w:t>
      </w:r>
    </w:p>
    <w:p>
      <w:pPr>
        <w:pStyle w:val="18"/>
        <w:numPr>
          <w:ilvl w:val="0"/>
          <w:numId w:val="3"/>
        </w:numPr>
        <w:spacing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" w:hAnsi="仿宋" w:eastAsia="仿宋"/>
          <w:sz w:val="30"/>
        </w:rPr>
        <w:t>项目</w:t>
      </w:r>
      <w:r>
        <w:rPr>
          <w:rFonts w:hint="eastAsia" w:ascii="仿宋_GB2312" w:hAnsi="仿宋" w:eastAsia="仿宋_GB2312" w:cs="宋体"/>
          <w:sz w:val="32"/>
          <w:szCs w:val="32"/>
        </w:rPr>
        <w:t>主要内容及实施情况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项目实施前制定实施方案，项目实施过程中严格按照实施方案进行实施并及时进行监督管理。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3.项目负责人为刘永武，主要职责为负责项目的实施。</w:t>
      </w:r>
    </w:p>
    <w:p>
      <w:pPr>
        <w:pStyle w:val="24"/>
        <w:ind w:left="0" w:firstLine="643" w:firstLineChars="200"/>
      </w:pPr>
      <w:bookmarkStart w:id="1" w:name="_Toc26401550"/>
      <w:r>
        <w:rPr>
          <w:rFonts w:hint="eastAsia"/>
        </w:rPr>
        <w:t>资金</w:t>
      </w:r>
      <w:bookmarkEnd w:id="1"/>
      <w:r>
        <w:rPr>
          <w:rFonts w:hint="eastAsia"/>
        </w:rPr>
        <w:t>投入和使用情况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本项目总投资34.93元，资金来源为本级部门预算资金34.93元。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" w:hAnsi="仿宋" w:eastAsia="仿宋"/>
          <w:sz w:val="30"/>
        </w:rPr>
        <w:t>博物馆暖气费</w:t>
      </w:r>
      <w:r>
        <w:rPr>
          <w:rFonts w:hint="eastAsia" w:ascii="仿宋_GB2312" w:hAnsi="仿宋" w:eastAsia="仿宋_GB2312" w:cs="宋体"/>
          <w:sz w:val="32"/>
          <w:szCs w:val="32"/>
        </w:rPr>
        <w:t>项目资金的使用范围：</w:t>
      </w:r>
      <w:r>
        <w:rPr>
          <w:rFonts w:hint="eastAsia" w:ascii="仿宋" w:hAnsi="仿宋" w:eastAsia="仿宋"/>
          <w:sz w:val="30"/>
        </w:rPr>
        <w:t>保证博物日常运转,给新馆供暖，提高陈展速度，提高博物馆展览服务能力，提升服务质量。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喀什地区文物局制定了财务管理制度，按照管理制度进行使用。</w:t>
      </w:r>
    </w:p>
    <w:p>
      <w:pPr>
        <w:pStyle w:val="24"/>
        <w:ind w:left="0" w:firstLine="643" w:firstLineChars="200"/>
      </w:pPr>
      <w:bookmarkStart w:id="2" w:name="_Toc26401551"/>
      <w:r>
        <w:rPr>
          <w:rFonts w:hint="eastAsia"/>
        </w:rPr>
        <w:t>绩效目标</w:t>
      </w:r>
      <w:bookmarkEnd w:id="2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总体目标为：</w:t>
      </w:r>
      <w:r>
        <w:rPr>
          <w:rFonts w:hint="eastAsia" w:ascii="仿宋" w:hAnsi="仿宋" w:eastAsia="仿宋"/>
          <w:sz w:val="30"/>
        </w:rPr>
        <w:t>本项目目标是保证博物日常运转,给新馆供暖，提高陈展速度，提高博物馆展览服务能力，提升服务质量。</w:t>
      </w:r>
    </w:p>
    <w:p>
      <w:pPr>
        <w:spacing w:beforeLines="50" w:line="600" w:lineRule="exact"/>
      </w:pPr>
      <w:r>
        <w:rPr>
          <w:rFonts w:hint="eastAsia" w:ascii="仿宋_GB2312" w:hAnsi="仿宋" w:eastAsia="仿宋_GB2312" w:cs="宋体"/>
          <w:sz w:val="32"/>
          <w:szCs w:val="32"/>
        </w:rPr>
        <w:t xml:space="preserve"> </w:t>
      </w:r>
      <w:r>
        <w:rPr>
          <w:rFonts w:ascii="仿宋_GB2312" w:hAnsi="仿宋" w:eastAsia="仿宋_GB2312" w:cs="宋体"/>
          <w:sz w:val="32"/>
          <w:szCs w:val="32"/>
        </w:rPr>
        <w:t xml:space="preserve">   </w:t>
      </w:r>
      <w:r>
        <w:rPr>
          <w:rFonts w:hint="eastAsia" w:ascii="仿宋_GB2312" w:hAnsi="仿宋" w:eastAsia="仿宋_GB2312" w:cs="宋体"/>
          <w:sz w:val="32"/>
          <w:szCs w:val="32"/>
        </w:rPr>
        <w:t>项目共设置</w:t>
      </w:r>
      <w:r>
        <w:rPr>
          <w:rFonts w:ascii="仿宋_GB2312" w:hAnsi="仿宋" w:eastAsia="仿宋_GB2312" w:cs="宋体"/>
          <w:sz w:val="32"/>
          <w:szCs w:val="32"/>
        </w:rPr>
        <w:t>1</w:t>
      </w:r>
      <w:r>
        <w:rPr>
          <w:rFonts w:hint="eastAsia" w:ascii="仿宋_GB2312" w:hAnsi="仿宋" w:eastAsia="仿宋_GB2312" w:cs="宋体"/>
          <w:sz w:val="32"/>
          <w:szCs w:val="32"/>
        </w:rPr>
        <w:t>级指标3个，二级指标7个，三级指标8个，绩效目标申报表详见附件1。</w:t>
      </w:r>
    </w:p>
    <w:p>
      <w:pPr>
        <w:pStyle w:val="24"/>
        <w:numPr>
          <w:ilvl w:val="0"/>
          <w:numId w:val="4"/>
        </w:numPr>
        <w:ind w:left="0" w:firstLine="643" w:firstLineChars="200"/>
      </w:pPr>
      <w:bookmarkStart w:id="3" w:name="_Toc26401553"/>
      <w:r>
        <w:rPr>
          <w:rFonts w:hint="eastAsia"/>
        </w:rPr>
        <w:t>评价目的</w:t>
      </w:r>
      <w:bookmarkEnd w:id="3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hAnsi="仿宋" w:eastAsia="仿宋_GB2312" w:cs="宋体"/>
          <w:sz w:val="32"/>
          <w:szCs w:val="32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</w:rPr>
        <w:t>旨在评价博物馆暖气费项目实施前期、过程及效果，评价财政预算资金使用的效率及效益。</w:t>
      </w:r>
      <w:r>
        <w:rPr>
          <w:rFonts w:hint="eastAsia" w:ascii="仿宋" w:hAnsi="仿宋" w:eastAsia="仿宋"/>
          <w:sz w:val="30"/>
        </w:rPr>
        <w:t>保证博物日常运转,给新馆供暖，提高陈展速度，提高博物馆展览服务能力，</w:t>
      </w:r>
      <w:r>
        <w:rPr>
          <w:rStyle w:val="15"/>
          <w:rFonts w:hint="eastAsia" w:ascii="仿宋" w:hAnsi="仿宋" w:eastAsia="仿宋"/>
          <w:b w:val="0"/>
          <w:spacing w:val="-4"/>
          <w:sz w:val="32"/>
          <w:szCs w:val="32"/>
        </w:rPr>
        <w:t>以达到公共服务的综合作用</w:t>
      </w:r>
      <w:r>
        <w:rPr>
          <w:rFonts w:hint="eastAsia" w:ascii="仿宋_GB2312" w:hAnsi="仿宋" w:eastAsia="仿宋_GB2312" w:cs="宋体"/>
          <w:b/>
          <w:sz w:val="32"/>
          <w:szCs w:val="32"/>
        </w:rPr>
        <w:t>。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本次绩效评价的对象及范围</w:t>
      </w:r>
      <w:bookmarkStart w:id="4" w:name="_Toc26401554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本次评价对象为</w:t>
      </w:r>
      <w:r>
        <w:rPr>
          <w:rFonts w:hint="eastAsia" w:ascii="仿宋_GB2312" w:hAnsi="仿宋" w:eastAsia="仿宋_GB2312" w:cs="宋体"/>
          <w:sz w:val="32"/>
          <w:szCs w:val="32"/>
        </w:rPr>
        <w:t>博物馆暖气费</w:t>
      </w:r>
      <w:r>
        <w:rPr>
          <w:rFonts w:ascii="仿宋_GB2312" w:hAnsi="仿宋" w:eastAsia="仿宋_GB2312" w:cs="宋体"/>
          <w:sz w:val="32"/>
          <w:szCs w:val="32"/>
        </w:rPr>
        <w:t>项目资金，评价范围包括专项资</w:t>
      </w:r>
      <w:r>
        <w:rPr>
          <w:rFonts w:hint="eastAsia" w:ascii="仿宋_GB2312" w:hAnsi="仿宋" w:eastAsia="仿宋_GB2312" w:cs="宋体"/>
          <w:sz w:val="32"/>
          <w:szCs w:val="32"/>
        </w:rPr>
        <w:t>金的安排、组织及使用效益。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绩效评价原则</w:t>
      </w:r>
      <w:bookmarkEnd w:id="4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本次绩效评价遵循的原则包括：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科学公正。绩效评价应当运用科学合理的方法，按照规范的程序，对项目绩效进行客观、公正的反映。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</w:rPr>
      </w:pPr>
      <w:r>
        <w:rPr>
          <w:rFonts w:hint="eastAsia" w:hAnsi="仿宋" w:cs="宋体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本项目绩效评价体系</w:t>
      </w:r>
    </w:p>
    <w:p>
      <w:pPr>
        <w:pStyle w:val="24"/>
        <w:numPr>
          <w:ilvl w:val="0"/>
          <w:numId w:val="0"/>
        </w:numPr>
        <w:ind w:firstLine="640" w:firstLineChars="200"/>
        <w:rPr>
          <w:b w:val="0"/>
        </w:rPr>
      </w:pPr>
      <w:r>
        <w:rPr>
          <w:rFonts w:hint="eastAsia"/>
          <w:b w:val="0"/>
        </w:rPr>
        <w:t>本项目绩效评价体系为根据财预</w:t>
      </w:r>
      <w:r>
        <w:rPr>
          <w:rFonts w:hint="eastAsia" w:ascii="仿宋" w:hAnsi="仿宋" w:eastAsia="仿宋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hint="eastAsia" w:ascii="仿宋" w:hAnsi="仿宋" w:eastAsia="仿宋"/>
          <w:b w:val="0"/>
        </w:rPr>
        <w:t>﹞</w:t>
      </w:r>
      <w:r>
        <w:rPr>
          <w:rFonts w:hint="eastAsia"/>
          <w:b w:val="0"/>
        </w:rPr>
        <w:t>1</w:t>
      </w:r>
      <w:r>
        <w:rPr>
          <w:b w:val="0"/>
        </w:rPr>
        <w:t>0</w:t>
      </w:r>
      <w:r>
        <w:rPr>
          <w:rFonts w:hint="eastAsia"/>
          <w:b w:val="0"/>
        </w:rPr>
        <w:t>号共性指标及个性化指标设置，详见附件</w:t>
      </w:r>
      <w:r>
        <w:rPr>
          <w:rFonts w:hint="eastAsia"/>
          <w:b w:val="0"/>
          <w:lang w:val="en-US" w:eastAsia="zh-CN"/>
        </w:rPr>
        <w:t>4</w:t>
      </w:r>
      <w:r>
        <w:rPr>
          <w:rFonts w:hint="eastAsia"/>
          <w:b w:val="0"/>
        </w:rPr>
        <w:t>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bookmarkStart w:id="5" w:name="_Toc26401555"/>
      <w:r>
        <w:rPr>
          <w:rFonts w:hint="eastAsia"/>
        </w:rPr>
        <w:t>绩效评价方法</w:t>
      </w:r>
      <w:bookmarkEnd w:id="5"/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本次绩效评价方法的选用坚持简便有效的原则采用成本效益分析法。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评价标准</w:t>
      </w:r>
    </w:p>
    <w:p>
      <w:pPr>
        <w:pStyle w:val="24"/>
        <w:keepNext w:val="0"/>
        <w:keepLines w:val="0"/>
        <w:numPr>
          <w:ilvl w:val="0"/>
          <w:numId w:val="0"/>
        </w:num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项目评价标准采用</w:t>
      </w:r>
      <w:r>
        <w:rPr>
          <w:rFonts w:hint="eastAsia"/>
          <w:bCs w:val="0"/>
        </w:rPr>
        <w:t>行业标准。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绩效评价工作过程</w:t>
      </w:r>
    </w:p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</w:t>
      </w:r>
      <w:r>
        <w:rPr>
          <w:rFonts w:hint="eastAsia"/>
          <w:b w:val="0"/>
          <w:bCs w:val="0"/>
          <w:lang w:eastAsia="zh-CN"/>
        </w:rPr>
        <w:t>小组</w:t>
      </w:r>
      <w:r>
        <w:rPr>
          <w:rFonts w:hint="eastAsia"/>
          <w:b w:val="0"/>
          <w:bCs w:val="0"/>
        </w:rPr>
        <w:t>，成员如下：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刘永武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叶保平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副高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钱霞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中级</w:t>
            </w:r>
          </w:p>
        </w:tc>
      </w:tr>
    </w:tbl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2"/>
        <w:numPr>
          <w:ilvl w:val="0"/>
          <w:numId w:val="2"/>
        </w:numPr>
        <w:ind w:firstLineChars="0"/>
      </w:pPr>
      <w:bookmarkStart w:id="6" w:name="_Toc26401558"/>
      <w:r>
        <w:rPr>
          <w:rFonts w:hint="eastAsia" w:ascii="黑体" w:hAnsi="黑体"/>
        </w:rPr>
        <w:t>综合评价情况及评价结论</w:t>
      </w:r>
      <w:r>
        <w:rPr>
          <w:rFonts w:hint="eastAsia" w:ascii="仿宋_GB2312"/>
        </w:rPr>
        <w:t>（附相关评分表）</w:t>
      </w:r>
    </w:p>
    <w:p>
      <w:pPr>
        <w:pStyle w:val="22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hint="eastAsia" w:ascii="仿宋_GB2312" w:eastAsia="仿宋_GB2312" w:hAnsiTheme="majorHAnsi"/>
          <w:b w:val="0"/>
          <w:bCs w:val="0"/>
          <w:kern w:val="2"/>
        </w:rPr>
        <w:t>经评价组通过实地调研、资料分析等方式，采用综合分析法、成本效益分析法、最低成本法、标杆管理法（根据实际情况去留）等对项目的决策、管理、绩效进行的综合评价分析，项目得分为96分，评价结果为优，详见附件</w:t>
      </w:r>
      <w:r>
        <w:rPr>
          <w:rFonts w:hint="eastAsia" w:ascii="仿宋_GB2312" w:eastAsia="仿宋_GB2312" w:hAnsiTheme="majorHAnsi"/>
          <w:b w:val="0"/>
          <w:bCs w:val="0"/>
          <w:kern w:val="2"/>
          <w:lang w:val="en-US" w:eastAsia="zh-CN"/>
        </w:rPr>
        <w:t>6</w:t>
      </w:r>
      <w:r>
        <w:rPr>
          <w:rFonts w:hint="eastAsia" w:ascii="仿宋_GB2312" w:eastAsia="仿宋_GB2312" w:hAnsiTheme="majorHAnsi"/>
          <w:b w:val="0"/>
          <w:bCs w:val="0"/>
          <w:kern w:val="2"/>
        </w:rPr>
        <w:t>。</w:t>
      </w:r>
    </w:p>
    <w:p>
      <w:pPr>
        <w:pStyle w:val="22"/>
        <w:numPr>
          <w:ilvl w:val="0"/>
          <w:numId w:val="2"/>
        </w:numPr>
        <w:ind w:firstLineChars="0"/>
      </w:pPr>
      <w:r>
        <w:rPr>
          <w:rFonts w:hint="eastAsia"/>
        </w:rPr>
        <w:t>绩效评价指标分析</w:t>
      </w:r>
      <w:bookmarkEnd w:id="6"/>
    </w:p>
    <w:p>
      <w:pPr>
        <w:pStyle w:val="18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项目的决策情况</w:t>
      </w:r>
    </w:p>
    <w:p>
      <w:pPr>
        <w:pStyle w:val="27"/>
        <w:ind w:firstLine="640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本项目的立项符合相关法规政策及部门职责，依据充分；项目按照规定的程序申请设立；审批文件、材料符合相关要求；项目前期已经过必要集体决策。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项目绩效目标细化分解为具体的绩效指标；通过清晰、可衡量的指标值予以体现；与项目目标任务数或计划数相对应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8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项目的过程情况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资金管理方面，项目资金到位足额及时，及时支付，资金使用符合国家法规和财务管理制度；资金拨付有完整的审批程序和手续，符合项目预算批复或合同规定的用途；不存在截留、挤占、挪用、虚列支出等情况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项目调整及支出调整手续完备，项目资料齐全并及时归档，项目实施的人员条件、场地设备、信息支撑等落实到位。</w:t>
      </w:r>
    </w:p>
    <w:p>
      <w:pPr>
        <w:pStyle w:val="18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项目产出情况</w:t>
      </w:r>
    </w:p>
    <w:p>
      <w:pPr>
        <w:spacing w:line="500" w:lineRule="exact"/>
        <w:ind w:firstLine="645"/>
        <w:rPr>
          <w:rFonts w:hint="eastAsia"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项目产出数量为：</w:t>
      </w:r>
    </w:p>
    <w:p>
      <w:pPr>
        <w:ind w:firstLine="56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接待游客人数：预期指标值为</w:t>
      </w:r>
      <w:r>
        <w:rPr>
          <w:rFonts w:ascii="仿宋_GB2312" w:hAnsi="仿宋" w:eastAsia="仿宋_GB2312" w:cs="宋体"/>
          <w:sz w:val="32"/>
          <w:szCs w:val="32"/>
        </w:rPr>
        <w:t>10000人，</w:t>
      </w:r>
      <w:r>
        <w:rPr>
          <w:rFonts w:hint="eastAsia" w:ascii="仿宋_GB2312" w:hAnsi="仿宋" w:eastAsia="仿宋_GB2312" w:cs="宋体"/>
          <w:sz w:val="32"/>
          <w:szCs w:val="32"/>
        </w:rPr>
        <w:t>实际完成指标值为10000人，指标完成率为100%;（达到预期目标）。</w:t>
      </w:r>
    </w:p>
    <w:p>
      <w:pPr>
        <w:spacing w:line="500" w:lineRule="exact"/>
        <w:ind w:firstLine="645"/>
        <w:rPr>
          <w:rFonts w:hint="eastAsia" w:ascii="仿宋_GB2312" w:hAnsi="仿宋" w:eastAsia="仿宋_GB2312" w:cs="宋体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数量指标共计1个，完成1个，达到预期目标</w:t>
      </w:r>
      <w:r>
        <w:rPr>
          <w:rFonts w:hint="eastAsia" w:ascii="仿宋_GB2312" w:hAnsi="Calibri"/>
          <w:bCs/>
          <w:sz w:val="32"/>
          <w:szCs w:val="32"/>
        </w:rPr>
        <w:t>。</w:t>
      </w:r>
    </w:p>
    <w:p>
      <w:pPr>
        <w:ind w:firstLine="56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</w:t>
      </w:r>
      <w:r>
        <w:rPr>
          <w:rFonts w:hint="eastAsia" w:ascii="仿宋" w:hAnsi="仿宋" w:eastAsia="仿宋"/>
          <w:sz w:val="32"/>
          <w:szCs w:val="32"/>
        </w:rPr>
        <w:t>产出质量为</w:t>
      </w:r>
      <w:r>
        <w:rPr>
          <w:rFonts w:ascii="仿宋" w:hAnsi="仿宋" w:eastAsia="仿宋"/>
          <w:sz w:val="32"/>
          <w:szCs w:val="32"/>
        </w:rPr>
        <w:t>博物馆免费开放服务水平合格率</w:t>
      </w:r>
      <w:r>
        <w:rPr>
          <w:rFonts w:hint="eastAsia" w:ascii="仿宋" w:hAnsi="仿宋" w:eastAsia="仿宋"/>
          <w:sz w:val="32"/>
          <w:szCs w:val="32"/>
        </w:rPr>
        <w:t>:预期指标值为90%，实际完成指标值为90%，指标完成率为100%;（达到预期目标）。</w:t>
      </w:r>
    </w:p>
    <w:p>
      <w:pPr>
        <w:spacing w:line="500" w:lineRule="exact"/>
        <w:ind w:firstLine="645"/>
        <w:rPr>
          <w:rFonts w:hint="eastAsia"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项目产出时效为：</w:t>
      </w:r>
    </w:p>
    <w:p>
      <w:pPr>
        <w:spacing w:line="500" w:lineRule="exact"/>
        <w:ind w:firstLine="645"/>
        <w:rPr>
          <w:rFonts w:hint="eastAsia"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博物馆免费开放时限，预期指标是300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天</w:t>
      </w:r>
      <w:r>
        <w:rPr>
          <w:rFonts w:hint="eastAsia" w:ascii="仿宋_GB2312" w:hAnsi="仿宋" w:eastAsia="仿宋_GB2312" w:cs="宋体"/>
          <w:sz w:val="32"/>
          <w:szCs w:val="32"/>
        </w:rPr>
        <w:t>，实际完成值是360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天</w:t>
      </w:r>
      <w:r>
        <w:rPr>
          <w:rFonts w:hint="eastAsia" w:ascii="仿宋_GB2312" w:hAnsi="仿宋" w:eastAsia="仿宋_GB2312" w:cs="宋体"/>
          <w:sz w:val="32"/>
          <w:szCs w:val="32"/>
        </w:rPr>
        <w:t>，指标完成率是100%（达到预期目标）</w:t>
      </w:r>
    </w:p>
    <w:p>
      <w:pPr>
        <w:ind w:firstLine="560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博物馆每日开馆时间</w:t>
      </w:r>
      <w:r>
        <w:rPr>
          <w:rFonts w:hint="eastAsia" w:ascii="仿宋_GB2312" w:hAnsi="仿宋" w:eastAsia="仿宋_GB2312" w:cs="宋体"/>
          <w:sz w:val="32"/>
          <w:szCs w:val="32"/>
        </w:rPr>
        <w:t>：预期指标值:</w:t>
      </w:r>
      <w:r>
        <w:rPr>
          <w:rFonts w:ascii="仿宋_GB2312" w:hAnsi="仿宋" w:eastAsia="仿宋_GB2312" w:cs="宋体"/>
          <w:sz w:val="32"/>
          <w:szCs w:val="32"/>
        </w:rPr>
        <w:t xml:space="preserve"> 8小时</w:t>
      </w:r>
      <w:r>
        <w:rPr>
          <w:rFonts w:hint="eastAsia" w:ascii="仿宋_GB2312" w:hAnsi="仿宋" w:eastAsia="仿宋_GB2312" w:cs="宋体"/>
          <w:sz w:val="32"/>
          <w:szCs w:val="32"/>
        </w:rPr>
        <w:t>，实际完成指标值为100%，指标完成率为100%;（达到预期目标）。</w:t>
      </w:r>
    </w:p>
    <w:p>
      <w:pPr>
        <w:ind w:firstLine="640" w:firstLineChars="200"/>
        <w:rPr>
          <w:rFonts w:hint="eastAsia"/>
        </w:rPr>
      </w:pPr>
      <w:r>
        <w:rPr>
          <w:rFonts w:hint="eastAsia" w:ascii="仿宋" w:hAnsi="仿宋" w:eastAsia="仿宋"/>
          <w:sz w:val="32"/>
          <w:szCs w:val="32"/>
        </w:rPr>
        <w:t>时效指标共计2个，完成2个，达到预期目标.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项目产出成本指标：博物馆暖气费成本，预期指标是34.94万元，实际完成值是34.94万元，指标完成率是100%（达到预期目标）。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项目效益情况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 xml:space="preserve"> </w:t>
      </w:r>
      <w:r>
        <w:rPr>
          <w:rFonts w:hint="eastAsia" w:ascii="仿宋_GB2312" w:hAnsi="仿宋" w:eastAsia="仿宋_GB2312" w:cs="宋体"/>
          <w:sz w:val="32"/>
          <w:szCs w:val="32"/>
        </w:rPr>
        <w:t>项目实施产生的经济效益指标为无。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项目实施产生的社会效益指标为：提高博物馆展览服务能力，提升服务质量.预期指标是有效提升，实际完成值是有效提升，指标完成率是87%（达到预期目标）。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项目实施产生的生态效益指标为无。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项目的可持续效益效益指标为：公共服务水平提高，预期指标是长期，实际完成值是长期，指标完成率是87%（达到预期目标）。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经问卷调查，项目收益群众满意度为：90%，达到了预期目标。</w:t>
      </w:r>
    </w:p>
    <w:p>
      <w:pPr>
        <w:pStyle w:val="22"/>
        <w:numPr>
          <w:ilvl w:val="0"/>
          <w:numId w:val="2"/>
        </w:numPr>
        <w:ind w:firstLineChars="0"/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4"/>
        <w:numPr>
          <w:ilvl w:val="0"/>
          <w:numId w:val="7"/>
        </w:numPr>
        <w:ind w:left="0" w:firstLine="643" w:firstLineChars="200"/>
      </w:pPr>
      <w:r>
        <w:rPr>
          <w:rFonts w:hint="eastAsia"/>
        </w:rPr>
        <w:t>主要经验及做法</w:t>
      </w:r>
    </w:p>
    <w:p>
      <w:pPr>
        <w:pStyle w:val="24"/>
        <w:numPr>
          <w:ilvl w:val="0"/>
          <w:numId w:val="0"/>
        </w:numPr>
        <w:ind w:firstLine="640" w:firstLineChars="200"/>
        <w:rPr>
          <w:b w:val="0"/>
        </w:rPr>
      </w:pPr>
      <w:r>
        <w:rPr>
          <w:rFonts w:hint="eastAsia"/>
          <w:b w:val="0"/>
        </w:rPr>
        <w:t>本项目实施效果较好的原因主要是管理制度完善、责任落实到位，跟踪考核机制完善且运行有效，使项目取得了良好的效果。</w:t>
      </w:r>
    </w:p>
    <w:p>
      <w:pPr>
        <w:pStyle w:val="24"/>
        <w:numPr>
          <w:ilvl w:val="0"/>
          <w:numId w:val="7"/>
        </w:numPr>
        <w:ind w:left="0" w:firstLine="643" w:firstLineChars="200"/>
      </w:pPr>
      <w:r>
        <w:rPr>
          <w:rFonts w:hint="eastAsia"/>
        </w:rPr>
        <w:t>存在的问题及原因分析</w:t>
      </w:r>
    </w:p>
    <w:p>
      <w:pPr>
        <w:pStyle w:val="24"/>
        <w:numPr>
          <w:ilvl w:val="0"/>
          <w:numId w:val="0"/>
        </w:numPr>
        <w:rPr>
          <w:b w:val="0"/>
        </w:rPr>
      </w:pPr>
      <w:r>
        <w:rPr>
          <w:rFonts w:hint="eastAsia"/>
          <w:b w:val="0"/>
        </w:rPr>
        <w:t xml:space="preserve"> </w:t>
      </w:r>
      <w:r>
        <w:rPr>
          <w:b w:val="0"/>
        </w:rPr>
        <w:t xml:space="preserve">   </w:t>
      </w:r>
      <w:r>
        <w:rPr>
          <w:rFonts w:hint="eastAsia"/>
          <w:b w:val="0"/>
        </w:rPr>
        <w:t>无</w:t>
      </w:r>
    </w:p>
    <w:p>
      <w:pPr>
        <w:pStyle w:val="22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有关建议</w:t>
      </w:r>
    </w:p>
    <w:p>
      <w:pPr>
        <w:pStyle w:val="22"/>
        <w:ind w:firstLine="0" w:firstLineChars="0"/>
        <w:rPr>
          <w:rFonts w:ascii="黑体" w:hAnsi="黑体"/>
          <w:b w:val="0"/>
        </w:rPr>
      </w:pPr>
      <w:r>
        <w:rPr>
          <w:rFonts w:ascii="黑体" w:hAnsi="黑体"/>
          <w:b w:val="0"/>
        </w:rPr>
        <w:t xml:space="preserve"> </w:t>
      </w:r>
      <w:r>
        <w:rPr>
          <w:rFonts w:ascii="仿宋_GB2312" w:hAnsi="仿宋" w:eastAsia="仿宋_GB2312" w:cs="宋体"/>
          <w:b w:val="0"/>
          <w:kern w:val="2"/>
        </w:rPr>
        <w:t xml:space="preserve">   </w:t>
      </w:r>
      <w:r>
        <w:rPr>
          <w:rFonts w:hint="eastAsia" w:ascii="仿宋_GB2312" w:hAnsi="仿宋" w:eastAsia="仿宋_GB2312" w:cs="宋体"/>
          <w:b w:val="0"/>
          <w:kern w:val="2"/>
        </w:rPr>
        <w:t>无</w:t>
      </w:r>
    </w:p>
    <w:p>
      <w:pPr>
        <w:pStyle w:val="22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其他需要说明的问题</w:t>
      </w:r>
    </w:p>
    <w:p>
      <w:pPr>
        <w:pStyle w:val="22"/>
        <w:ind w:firstLine="640"/>
        <w:rPr>
          <w:rFonts w:ascii="仿宋_GB2312" w:hAnsi="仿宋" w:eastAsia="仿宋_GB2312" w:cs="宋体"/>
        </w:rPr>
      </w:pPr>
      <w:r>
        <w:rPr>
          <w:rFonts w:hint="eastAsia" w:ascii="仿宋_GB2312" w:hAnsi="仿宋" w:eastAsia="仿宋_GB2312" w:cs="宋体"/>
          <w:b w:val="0"/>
          <w:kern w:val="2"/>
        </w:rPr>
        <w:t>无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附件1：喀什地区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文物局博物馆暖气费项目</w:t>
      </w:r>
      <w:r>
        <w:rPr>
          <w:rFonts w:hint="eastAsia" w:ascii="仿宋_GB2312" w:hAnsi="仿宋" w:eastAsia="仿宋_GB2312" w:cs="宋体"/>
          <w:sz w:val="32"/>
          <w:szCs w:val="32"/>
        </w:rPr>
        <w:t>支出绩效目标申报表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附件2：喀什地区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文物局博物馆暖气费项目</w:t>
      </w:r>
      <w:r>
        <w:rPr>
          <w:rFonts w:hint="eastAsia" w:ascii="仿宋_GB2312" w:hAnsi="仿宋" w:eastAsia="仿宋_GB2312" w:cs="宋体"/>
          <w:sz w:val="32"/>
          <w:szCs w:val="32"/>
        </w:rPr>
        <w:t>支出绩效目标</w:t>
      </w:r>
      <w:bookmarkStart w:id="7" w:name="_GoBack"/>
      <w:bookmarkEnd w:id="7"/>
      <w:r>
        <w:rPr>
          <w:rFonts w:hint="eastAsia" w:ascii="仿宋_GB2312" w:hAnsi="仿宋" w:eastAsia="仿宋_GB2312" w:cs="宋体"/>
          <w:sz w:val="32"/>
          <w:szCs w:val="32"/>
        </w:rPr>
        <w:t>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附件3：喀什地区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文物局博物馆暖气费项目</w:t>
      </w:r>
      <w:r>
        <w:rPr>
          <w:rFonts w:hint="eastAsia" w:ascii="仿宋_GB2312" w:hAnsi="仿宋" w:eastAsia="仿宋_GB2312" w:cs="宋体"/>
          <w:sz w:val="32"/>
          <w:szCs w:val="32"/>
        </w:rPr>
        <w:t>支出绩效自评表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附件4：喀什地区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文物局博物馆暖气费项目</w:t>
      </w:r>
      <w:r>
        <w:rPr>
          <w:rFonts w:hint="eastAsia" w:ascii="仿宋_GB2312" w:hAnsi="仿宋" w:eastAsia="仿宋_GB2312" w:cs="宋体"/>
          <w:sz w:val="32"/>
          <w:szCs w:val="32"/>
        </w:rPr>
        <w:t>支出绩效评价指标体系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附件5：绩效评价依据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附件6：喀什地区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文物局博物馆暖气费项目</w:t>
      </w:r>
      <w:r>
        <w:rPr>
          <w:rFonts w:hint="eastAsia" w:ascii="仿宋_GB2312" w:hAnsi="仿宋" w:eastAsia="仿宋_GB2312" w:cs="宋体"/>
          <w:sz w:val="32"/>
          <w:szCs w:val="32"/>
        </w:rPr>
        <w:t>支出绩效评价评分表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4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5715"/>
    <w:rsid w:val="00022413"/>
    <w:rsid w:val="00037F93"/>
    <w:rsid w:val="00042126"/>
    <w:rsid w:val="00074850"/>
    <w:rsid w:val="000E0C7B"/>
    <w:rsid w:val="000E1081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6A69"/>
    <w:rsid w:val="0019720C"/>
    <w:rsid w:val="001A1902"/>
    <w:rsid w:val="001A4FFA"/>
    <w:rsid w:val="001B5B44"/>
    <w:rsid w:val="001D5FF2"/>
    <w:rsid w:val="001D6F2E"/>
    <w:rsid w:val="00203FB6"/>
    <w:rsid w:val="00233ECE"/>
    <w:rsid w:val="002468F5"/>
    <w:rsid w:val="002A1BF4"/>
    <w:rsid w:val="002B3A72"/>
    <w:rsid w:val="002C6231"/>
    <w:rsid w:val="002F0E95"/>
    <w:rsid w:val="002F7CDC"/>
    <w:rsid w:val="00324E56"/>
    <w:rsid w:val="00331AF1"/>
    <w:rsid w:val="003468D7"/>
    <w:rsid w:val="00363E52"/>
    <w:rsid w:val="00365DBB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16105"/>
    <w:rsid w:val="005225F1"/>
    <w:rsid w:val="00531253"/>
    <w:rsid w:val="00540B36"/>
    <w:rsid w:val="005571D6"/>
    <w:rsid w:val="00563E06"/>
    <w:rsid w:val="0058554B"/>
    <w:rsid w:val="00596DDF"/>
    <w:rsid w:val="005A2751"/>
    <w:rsid w:val="005B6EAB"/>
    <w:rsid w:val="005D7AC7"/>
    <w:rsid w:val="00630E69"/>
    <w:rsid w:val="006362B2"/>
    <w:rsid w:val="0065420A"/>
    <w:rsid w:val="006869EC"/>
    <w:rsid w:val="00694A44"/>
    <w:rsid w:val="006D0AA4"/>
    <w:rsid w:val="006D3B8E"/>
    <w:rsid w:val="006F2513"/>
    <w:rsid w:val="006F64CB"/>
    <w:rsid w:val="00703C6B"/>
    <w:rsid w:val="00714366"/>
    <w:rsid w:val="0071759F"/>
    <w:rsid w:val="007253B3"/>
    <w:rsid w:val="00731D46"/>
    <w:rsid w:val="00734BAD"/>
    <w:rsid w:val="00752C57"/>
    <w:rsid w:val="007713A5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C1EE6"/>
    <w:rsid w:val="008D7BC7"/>
    <w:rsid w:val="0090104C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881"/>
    <w:rsid w:val="00AE1FDF"/>
    <w:rsid w:val="00AE3042"/>
    <w:rsid w:val="00AF40B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C2671D"/>
    <w:rsid w:val="00C563AA"/>
    <w:rsid w:val="00C71FF0"/>
    <w:rsid w:val="00C77259"/>
    <w:rsid w:val="00C97E2D"/>
    <w:rsid w:val="00D043D7"/>
    <w:rsid w:val="00D054D4"/>
    <w:rsid w:val="00D117FB"/>
    <w:rsid w:val="00D23C2E"/>
    <w:rsid w:val="00D61EC8"/>
    <w:rsid w:val="00D93516"/>
    <w:rsid w:val="00DA4B41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750DD"/>
    <w:rsid w:val="00E96169"/>
    <w:rsid w:val="00F0780F"/>
    <w:rsid w:val="00F16D54"/>
    <w:rsid w:val="00F6015C"/>
    <w:rsid w:val="00F73CA0"/>
    <w:rsid w:val="00F75715"/>
    <w:rsid w:val="00FB2E2F"/>
    <w:rsid w:val="00FD300A"/>
    <w:rsid w:val="00FF137F"/>
    <w:rsid w:val="00FF6959"/>
    <w:rsid w:val="00FF6C14"/>
    <w:rsid w:val="01BE6316"/>
    <w:rsid w:val="0A335F74"/>
    <w:rsid w:val="0C37355A"/>
    <w:rsid w:val="217F35A7"/>
    <w:rsid w:val="24E73B1F"/>
    <w:rsid w:val="26F03C06"/>
    <w:rsid w:val="2A547683"/>
    <w:rsid w:val="38297705"/>
    <w:rsid w:val="49643F6E"/>
    <w:rsid w:val="57964064"/>
    <w:rsid w:val="5D0E4A2D"/>
    <w:rsid w:val="667765BF"/>
    <w:rsid w:val="7775238E"/>
    <w:rsid w:val="7A86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basedOn w:val="14"/>
    <w:qFormat/>
    <w:uiPriority w:val="0"/>
    <w:rPr>
      <w:b/>
      <w:bCs/>
    </w:rPr>
  </w:style>
  <w:style w:type="character" w:styleId="16">
    <w:name w:val="Hyperlink"/>
    <w:basedOn w:val="14"/>
    <w:unhideWhenUsed/>
    <w:qFormat/>
    <w:uiPriority w:val="99"/>
    <w:rPr>
      <w:color w:val="0563C1" w:themeColor="hyperlink"/>
      <w:u w:val="single"/>
    </w:rPr>
  </w:style>
  <w:style w:type="character" w:customStyle="1" w:styleId="17">
    <w:name w:val="标题 1 Char"/>
    <w:basedOn w:val="14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14"/>
    <w:link w:val="8"/>
    <w:qFormat/>
    <w:uiPriority w:val="99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99"/>
    <w:rPr>
      <w:sz w:val="18"/>
      <w:szCs w:val="18"/>
    </w:rPr>
  </w:style>
  <w:style w:type="character" w:customStyle="1" w:styleId="21">
    <w:name w:val="批注框文本 Char"/>
    <w:basedOn w:val="14"/>
    <w:link w:val="6"/>
    <w:semiHidden/>
    <w:qFormat/>
    <w:uiPriority w:val="99"/>
    <w:rPr>
      <w:sz w:val="18"/>
      <w:szCs w:val="18"/>
    </w:rPr>
  </w:style>
  <w:style w:type="paragraph" w:customStyle="1" w:styleId="22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3">
    <w:name w:val="标题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4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5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26">
    <w:name w:val="闻政正文 Char"/>
    <w:link w:val="27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7">
    <w:name w:val="闻政正文"/>
    <w:basedOn w:val="1"/>
    <w:link w:val="26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8">
    <w:name w:val="闻政表 Char"/>
    <w:link w:val="29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闻政表"/>
    <w:basedOn w:val="1"/>
    <w:link w:val="28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1">
    <w:name w:val="闻政标题3 Char"/>
    <w:link w:val="32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2">
    <w:name w:val="闻政标题3"/>
    <w:basedOn w:val="4"/>
    <w:link w:val="31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3">
    <w:name w:val="标题 3 Char"/>
    <w:basedOn w:val="14"/>
    <w:link w:val="4"/>
    <w:qFormat/>
    <w:uiPriority w:val="9"/>
    <w:rPr>
      <w:b/>
      <w:bCs/>
      <w:sz w:val="32"/>
      <w:szCs w:val="32"/>
    </w:rPr>
  </w:style>
  <w:style w:type="paragraph" w:customStyle="1" w:styleId="34">
    <w:name w:val="Body text|1"/>
    <w:basedOn w:val="1"/>
    <w:link w:val="35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5">
    <w:name w:val="Body text|1_"/>
    <w:basedOn w:val="14"/>
    <w:link w:val="34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0B8B9F-E320-4C7E-A878-D36D6A3CD0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410</Words>
  <Characters>2342</Characters>
  <Lines>19</Lines>
  <Paragraphs>5</Paragraphs>
  <TotalTime>1</TotalTime>
  <ScaleCrop>false</ScaleCrop>
  <LinksUpToDate>false</LinksUpToDate>
  <CharactersWithSpaces>2747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Administrator</cp:lastModifiedBy>
  <dcterms:modified xsi:type="dcterms:W3CDTF">2020-09-05T04:39:22Z</dcterms:modified>
  <dc:title>新疆普天鹏华商务信息咨询有限公司</dc:title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