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p>
    <w:p>
      <w:pPr>
        <w:spacing w:before="156" w:beforeLines="50"/>
        <w:jc w:val="center"/>
        <w:rPr>
          <w:rFonts w:hint="eastAsia" w:ascii="方正小标宋简体" w:eastAsia="方正小标宋简体"/>
          <w:sz w:val="44"/>
          <w:szCs w:val="44"/>
        </w:rPr>
      </w:pPr>
      <w:r>
        <w:rPr>
          <w:rFonts w:hint="eastAsia" w:ascii="方正小标宋简体" w:eastAsia="方正小标宋简体"/>
          <w:sz w:val="44"/>
          <w:szCs w:val="44"/>
        </w:rPr>
        <w:t>喀什地区</w:t>
      </w:r>
      <w:r>
        <w:rPr>
          <w:rFonts w:hint="eastAsia" w:ascii="方正小标宋简体" w:eastAsia="方正小标宋简体"/>
          <w:sz w:val="44"/>
          <w:szCs w:val="44"/>
          <w:lang w:eastAsia="zh-CN"/>
        </w:rPr>
        <w:t>文化馆非遗</w:t>
      </w:r>
      <w:r>
        <w:rPr>
          <w:rFonts w:hint="eastAsia" w:ascii="方正小标宋简体" w:eastAsia="方正小标宋简体"/>
          <w:sz w:val="44"/>
          <w:szCs w:val="44"/>
        </w:rPr>
        <w:t>项目支出</w:t>
      </w:r>
    </w:p>
    <w:p>
      <w:pPr>
        <w:spacing w:before="156" w:beforeLines="50"/>
        <w:jc w:val="center"/>
        <w:rPr>
          <w:rFonts w:ascii="方正小标宋简体" w:eastAsia="方正小标宋简体"/>
          <w:sz w:val="44"/>
          <w:szCs w:val="44"/>
        </w:rPr>
      </w:pPr>
      <w:r>
        <w:rPr>
          <w:rFonts w:hint="eastAsia" w:ascii="方正小标宋简体" w:eastAsia="方正小标宋简体"/>
          <w:sz w:val="44"/>
          <w:szCs w:val="44"/>
        </w:rPr>
        <w:t>绩效评价报告</w:t>
      </w: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autoSpaceDE w:val="0"/>
        <w:autoSpaceDN w:val="0"/>
        <w:spacing w:line="540" w:lineRule="exact"/>
        <w:ind w:firstLine="712" w:firstLineChars="200"/>
        <w:rPr>
          <w:rFonts w:hint="eastAsia"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项目名称：非遗专项补助项目</w:t>
      </w:r>
    </w:p>
    <w:p>
      <w:pPr>
        <w:autoSpaceDE w:val="0"/>
        <w:autoSpaceDN w:val="0"/>
        <w:spacing w:line="540" w:lineRule="exact"/>
        <w:ind w:firstLine="712" w:firstLineChars="200"/>
        <w:rPr>
          <w:rFonts w:hint="eastAsia"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实施单位（公章）：喀什地区文化馆</w:t>
      </w:r>
    </w:p>
    <w:p>
      <w:pPr>
        <w:autoSpaceDE w:val="0"/>
        <w:autoSpaceDN w:val="0"/>
        <w:spacing w:line="540" w:lineRule="exact"/>
        <w:ind w:firstLine="712" w:firstLineChars="200"/>
        <w:rPr>
          <w:rFonts w:hint="eastAsia"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评价部门：喀什地区文化馆</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pStyle w:val="22"/>
        <w:numPr>
          <w:ilvl w:val="0"/>
          <w:numId w:val="2"/>
        </w:numPr>
        <w:ind w:firstLineChars="0"/>
      </w:pPr>
      <w:r>
        <w:rPr>
          <w:rFonts w:hint="eastAsia"/>
        </w:rPr>
        <w:t>基本情况</w:t>
      </w:r>
    </w:p>
    <w:p>
      <w:pPr>
        <w:pStyle w:val="24"/>
        <w:ind w:left="0" w:firstLine="643" w:firstLineChars="200"/>
      </w:pPr>
      <w:bookmarkStart w:id="0" w:name="_Toc26401549"/>
      <w:r>
        <w:rPr>
          <w:rFonts w:hint="eastAsia"/>
        </w:rPr>
        <w:t>项目概况</w:t>
      </w:r>
      <w:bookmarkEnd w:id="0"/>
    </w:p>
    <w:p>
      <w:pPr>
        <w:pStyle w:val="18"/>
        <w:numPr>
          <w:ilvl w:val="0"/>
          <w:numId w:val="3"/>
        </w:numPr>
        <w:spacing w:before="156"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pStyle w:val="4"/>
        <w:keepNext w:val="0"/>
        <w:keepLines w:val="0"/>
        <w:widowControl/>
        <w:spacing w:before="0" w:after="0" w:line="675" w:lineRule="atLeast"/>
        <w:ind w:firstLine="640" w:firstLineChars="200"/>
        <w:jc w:val="left"/>
        <w:rPr>
          <w:rFonts w:ascii="仿宋" w:hAnsi="仿宋" w:eastAsia="仿宋"/>
          <w:color w:val="000000"/>
        </w:rPr>
      </w:pPr>
      <w:r>
        <w:rPr>
          <w:rFonts w:hint="eastAsia" w:ascii="仿宋" w:hAnsi="仿宋" w:eastAsia="仿宋"/>
          <w:b w:val="0"/>
          <w:color w:val="000000"/>
        </w:rPr>
        <w:t>根据财政部《财政部关于提前下达非物质文化遗产保护专项资金2019年预算指标的通知》（财文〔2018〕119号）</w:t>
      </w:r>
      <w:r>
        <w:rPr>
          <w:rFonts w:hint="eastAsia" w:ascii="仿宋" w:hAnsi="仿宋" w:eastAsia="仿宋"/>
          <w:color w:val="000000"/>
        </w:rPr>
        <w:t>，</w:t>
      </w:r>
      <w:r>
        <w:rPr>
          <w:rFonts w:hint="eastAsia" w:ascii="仿宋" w:hAnsi="仿宋" w:eastAsia="仿宋"/>
          <w:b w:val="0"/>
          <w:color w:val="000000"/>
        </w:rPr>
        <w:t>下达2019年非物质文化遗产保护专项资金30万元，其中中央资金30万元。</w:t>
      </w:r>
    </w:p>
    <w:p>
      <w:pPr>
        <w:rPr>
          <w:rFonts w:ascii="仿宋" w:hAnsi="仿宋" w:eastAsia="仿宋"/>
          <w:bCs/>
          <w:color w:val="000000"/>
          <w:sz w:val="32"/>
          <w:szCs w:val="32"/>
        </w:rPr>
      </w:pPr>
      <w:r>
        <w:rPr>
          <w:rFonts w:hint="eastAsia" w:ascii="仿宋" w:hAnsi="仿宋" w:eastAsia="仿宋"/>
          <w:bCs/>
          <w:color w:val="000000"/>
          <w:sz w:val="32"/>
          <w:szCs w:val="32"/>
        </w:rPr>
        <w:t>绩效目标：</w:t>
      </w:r>
    </w:p>
    <w:p>
      <w:pPr>
        <w:rPr>
          <w:rFonts w:ascii="仿宋" w:hAnsi="仿宋" w:eastAsia="仿宋"/>
          <w:bCs/>
          <w:color w:val="000000"/>
          <w:sz w:val="32"/>
          <w:szCs w:val="32"/>
        </w:rPr>
      </w:pPr>
      <w:r>
        <w:rPr>
          <w:rFonts w:hint="eastAsia" w:ascii="仿宋" w:hAnsi="仿宋" w:eastAsia="仿宋"/>
          <w:bCs/>
          <w:color w:val="000000"/>
          <w:sz w:val="32"/>
          <w:szCs w:val="32"/>
        </w:rPr>
        <w:t xml:space="preserve">   专项资金文件要求，中央下达年度总目标为：新财教（2018）327号拨入30万元，主要用于喀什地区文化馆开展各类非物质文化遗产保护活动经费开支，使喀什地区的非遗得到</w:t>
      </w:r>
      <w:r>
        <w:rPr>
          <w:rFonts w:hint="eastAsia" w:ascii="仿宋" w:hAnsi="仿宋" w:eastAsia="仿宋"/>
          <w:bCs/>
          <w:color w:val="000000"/>
          <w:sz w:val="32"/>
          <w:szCs w:val="32"/>
          <w:lang w:eastAsia="zh-CN"/>
        </w:rPr>
        <w:t>跟好的</w:t>
      </w:r>
      <w:r>
        <w:rPr>
          <w:rFonts w:hint="eastAsia" w:ascii="仿宋" w:hAnsi="仿宋" w:eastAsia="仿宋"/>
          <w:bCs/>
          <w:color w:val="000000"/>
          <w:sz w:val="32"/>
          <w:szCs w:val="32"/>
        </w:rPr>
        <w:t>传承</w:t>
      </w:r>
      <w:r>
        <w:rPr>
          <w:rFonts w:hint="eastAsia" w:ascii="仿宋" w:hAnsi="仿宋" w:eastAsia="仿宋"/>
          <w:bCs/>
          <w:color w:val="000000"/>
          <w:sz w:val="32"/>
          <w:szCs w:val="32"/>
          <w:lang w:eastAsia="zh-CN"/>
        </w:rPr>
        <w:t>与保护</w:t>
      </w:r>
      <w:r>
        <w:rPr>
          <w:rFonts w:hint="eastAsia" w:ascii="仿宋" w:hAnsi="仿宋" w:eastAsia="仿宋"/>
          <w:bCs/>
          <w:color w:val="000000"/>
          <w:sz w:val="32"/>
          <w:szCs w:val="32"/>
        </w:rPr>
        <w:t>。</w:t>
      </w:r>
    </w:p>
    <w:p>
      <w:pPr>
        <w:pStyle w:val="18"/>
        <w:numPr>
          <w:ilvl w:val="0"/>
          <w:numId w:val="3"/>
        </w:numPr>
        <w:spacing w:before="156"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项目主要内容及实施情况</w:t>
      </w:r>
    </w:p>
    <w:p>
      <w:pPr>
        <w:spacing w:before="156" w:beforeLines="50" w:line="600" w:lineRule="exact"/>
        <w:ind w:firstLine="645"/>
        <w:rPr>
          <w:rFonts w:hint="eastAsia" w:ascii="仿宋_GB2312" w:hAnsi="仿宋" w:eastAsia="仿宋_GB2312" w:cs="宋体"/>
          <w:kern w:val="2"/>
          <w:sz w:val="32"/>
          <w:szCs w:val="32"/>
          <w:lang w:val="en-US" w:eastAsia="zh-CN" w:bidi="ar-SA"/>
        </w:rPr>
      </w:pPr>
      <w:r>
        <w:rPr>
          <w:rFonts w:hint="eastAsia" w:ascii="仿宋_GB2312" w:hAnsi="仿宋" w:eastAsia="仿宋_GB2312" w:cs="宋体"/>
          <w:kern w:val="2"/>
          <w:sz w:val="32"/>
          <w:szCs w:val="32"/>
          <w:lang w:val="en-US" w:eastAsia="zh-CN" w:bidi="ar-SA"/>
        </w:rPr>
        <w:t>本项目非建设项目。</w:t>
      </w:r>
    </w:p>
    <w:p>
      <w:pPr>
        <w:ind w:firstLine="640" w:firstLineChars="200"/>
        <w:rPr>
          <w:rFonts w:hint="eastAsia" w:ascii="仿宋" w:hAnsi="仿宋" w:eastAsia="仿宋"/>
          <w:bCs/>
          <w:color w:val="000000"/>
          <w:sz w:val="32"/>
          <w:szCs w:val="32"/>
        </w:rPr>
      </w:pPr>
      <w:r>
        <w:rPr>
          <w:rFonts w:hint="eastAsia" w:ascii="仿宋_GB2312" w:hAnsi="仿宋" w:eastAsia="仿宋_GB2312" w:cs="宋体"/>
          <w:sz w:val="32"/>
          <w:szCs w:val="32"/>
          <w:lang w:eastAsia="zh-CN"/>
        </w:rPr>
        <w:t>喀什地区文化馆非物质文化遗产项目经费由</w:t>
      </w:r>
      <w:r>
        <w:rPr>
          <w:rFonts w:hint="eastAsia" w:ascii="仿宋" w:hAnsi="仿宋" w:eastAsia="仿宋"/>
          <w:bCs/>
          <w:color w:val="000000"/>
          <w:sz w:val="32"/>
          <w:szCs w:val="32"/>
        </w:rPr>
        <w:t>中央下达年度总目标为：新财教（2018）327号拨入30万元</w:t>
      </w:r>
      <w:r>
        <w:rPr>
          <w:rFonts w:hint="eastAsia" w:ascii="仿宋" w:hAnsi="仿宋" w:eastAsia="仿宋"/>
          <w:bCs/>
          <w:color w:val="000000"/>
          <w:sz w:val="32"/>
          <w:szCs w:val="32"/>
          <w:lang w:eastAsia="zh-CN"/>
        </w:rPr>
        <w:t>。</w:t>
      </w:r>
      <w:r>
        <w:rPr>
          <w:rFonts w:hint="eastAsia" w:ascii="仿宋" w:hAnsi="仿宋" w:eastAsia="仿宋"/>
          <w:bCs/>
          <w:color w:val="000000"/>
          <w:sz w:val="32"/>
          <w:szCs w:val="32"/>
        </w:rPr>
        <w:t>主要用于喀什地区文化馆开展各类非物质文化遗产保护活动经费开支，使喀什地区</w:t>
      </w:r>
      <w:r>
        <w:rPr>
          <w:rFonts w:hint="eastAsia" w:ascii="仿宋" w:hAnsi="仿宋" w:eastAsia="仿宋"/>
          <w:bCs/>
          <w:color w:val="000000"/>
          <w:sz w:val="32"/>
          <w:szCs w:val="32"/>
          <w:lang w:eastAsia="zh-CN"/>
        </w:rPr>
        <w:t>全区的非物质文化遗产</w:t>
      </w:r>
      <w:r>
        <w:rPr>
          <w:rFonts w:hint="eastAsia" w:ascii="仿宋" w:hAnsi="仿宋" w:eastAsia="仿宋"/>
          <w:bCs/>
          <w:color w:val="000000"/>
          <w:sz w:val="32"/>
          <w:szCs w:val="32"/>
        </w:rPr>
        <w:t>得到</w:t>
      </w:r>
      <w:r>
        <w:rPr>
          <w:rFonts w:hint="eastAsia" w:ascii="仿宋" w:hAnsi="仿宋" w:eastAsia="仿宋"/>
          <w:bCs/>
          <w:color w:val="000000"/>
          <w:sz w:val="32"/>
          <w:szCs w:val="32"/>
          <w:lang w:eastAsia="zh-CN"/>
        </w:rPr>
        <w:t>更好的</w:t>
      </w:r>
      <w:r>
        <w:rPr>
          <w:rFonts w:hint="eastAsia" w:ascii="仿宋" w:hAnsi="仿宋" w:eastAsia="仿宋"/>
          <w:bCs/>
          <w:color w:val="000000"/>
          <w:sz w:val="32"/>
          <w:szCs w:val="32"/>
        </w:rPr>
        <w:t>传承</w:t>
      </w:r>
      <w:r>
        <w:rPr>
          <w:rFonts w:hint="eastAsia" w:ascii="仿宋" w:hAnsi="仿宋" w:eastAsia="仿宋"/>
          <w:bCs/>
          <w:color w:val="000000"/>
          <w:sz w:val="32"/>
          <w:szCs w:val="32"/>
          <w:lang w:eastAsia="zh-CN"/>
        </w:rPr>
        <w:t>与保护</w:t>
      </w:r>
      <w:r>
        <w:rPr>
          <w:rFonts w:hint="eastAsia" w:ascii="仿宋" w:hAnsi="仿宋" w:eastAsia="仿宋"/>
          <w:bCs/>
          <w:color w:val="000000"/>
          <w:sz w:val="32"/>
          <w:szCs w:val="32"/>
        </w:rPr>
        <w:t>。</w:t>
      </w:r>
    </w:p>
    <w:p>
      <w:pPr>
        <w:ind w:firstLine="640" w:firstLineChars="200"/>
        <w:rPr>
          <w:rFonts w:ascii="仿宋_GB2312" w:hAnsi="仿宋" w:eastAsia="仿宋_GB2312" w:cs="宋体"/>
          <w:sz w:val="32"/>
          <w:szCs w:val="32"/>
        </w:rPr>
      </w:pPr>
      <w:r>
        <w:rPr>
          <w:rFonts w:hint="eastAsia" w:ascii="仿宋" w:hAnsi="仿宋" w:eastAsia="仿宋"/>
          <w:bCs/>
          <w:color w:val="000000"/>
          <w:sz w:val="32"/>
          <w:szCs w:val="32"/>
          <w:lang w:eastAsia="zh-CN"/>
        </w:rPr>
        <w:t>喀什地区文化馆为了更好的保护和传承</w:t>
      </w:r>
      <w:r>
        <w:rPr>
          <w:rFonts w:hint="eastAsia" w:ascii="仿宋_GB2312" w:hAnsi="仿宋" w:eastAsia="仿宋_GB2312" w:cs="宋体"/>
          <w:sz w:val="32"/>
          <w:szCs w:val="32"/>
        </w:rPr>
        <w:t>，制定</w:t>
      </w:r>
      <w:r>
        <w:rPr>
          <w:rFonts w:hint="eastAsia" w:ascii="仿宋_GB2312" w:hAnsi="仿宋" w:eastAsia="仿宋_GB2312" w:cs="宋体"/>
          <w:sz w:val="32"/>
          <w:szCs w:val="32"/>
          <w:lang w:eastAsia="zh-CN"/>
        </w:rPr>
        <w:t>了非遗经费</w:t>
      </w:r>
      <w:r>
        <w:rPr>
          <w:rFonts w:hint="eastAsia" w:ascii="仿宋_GB2312" w:hAnsi="仿宋" w:eastAsia="仿宋_GB2312" w:cs="宋体"/>
          <w:sz w:val="32"/>
          <w:szCs w:val="32"/>
        </w:rPr>
        <w:t>实施方案，项目实施过程中严格按照实施方案进行实施并及时进行监督管理，项目实施后是否进行及时验收及后期维护。</w:t>
      </w:r>
    </w:p>
    <w:p>
      <w:pPr>
        <w:tabs>
          <w:tab w:val="left" w:pos="7770"/>
        </w:tabs>
        <w:spacing w:before="156" w:beforeLines="50" w:line="600" w:lineRule="exact"/>
        <w:ind w:firstLine="645"/>
        <w:rPr>
          <w:rFonts w:hint="eastAsia" w:ascii="仿宋_GB2312" w:hAnsi="仿宋" w:eastAsia="仿宋_GB2312" w:cs="宋体"/>
          <w:sz w:val="32"/>
          <w:szCs w:val="32"/>
          <w:lang w:eastAsia="zh-CN"/>
        </w:rPr>
      </w:pPr>
      <w:r>
        <w:rPr>
          <w:rFonts w:hint="eastAsia" w:ascii="仿宋_GB2312" w:hAnsi="仿宋" w:eastAsia="仿宋_GB2312" w:cs="宋体"/>
          <w:sz w:val="32"/>
          <w:szCs w:val="32"/>
        </w:rPr>
        <w:t>3</w:t>
      </w:r>
      <w:r>
        <w:rPr>
          <w:rFonts w:hint="eastAsia" w:ascii="仿宋" w:hAnsi="仿宋" w:eastAsia="仿宋"/>
          <w:bCs/>
          <w:color w:val="000000"/>
          <w:sz w:val="32"/>
          <w:szCs w:val="32"/>
        </w:rPr>
        <w:t>由</w:t>
      </w:r>
      <w:r>
        <w:rPr>
          <w:rFonts w:hint="eastAsia" w:ascii="仿宋" w:hAnsi="仿宋" w:eastAsia="仿宋"/>
          <w:bCs/>
          <w:color w:val="000000"/>
          <w:sz w:val="32"/>
          <w:szCs w:val="32"/>
          <w:lang w:eastAsia="zh-CN"/>
        </w:rPr>
        <w:t>喀什地区文化馆</w:t>
      </w:r>
      <w:r>
        <w:rPr>
          <w:rFonts w:hint="eastAsia" w:ascii="仿宋" w:hAnsi="仿宋" w:eastAsia="仿宋"/>
          <w:bCs/>
          <w:color w:val="000000"/>
          <w:sz w:val="32"/>
          <w:szCs w:val="32"/>
        </w:rPr>
        <w:t>绩效分管领导、项目负责人、财务负责人等人员组成评价组，其中：瞿娜全面负责资金整体协调使用，胡越峰负责项目实施过程中的整体协调工作，朱磊负责活动具体策划与实施，徐鑫负责按项目进展程度，按照财务制度支付资金。</w:t>
      </w:r>
    </w:p>
    <w:p>
      <w:pPr>
        <w:pStyle w:val="24"/>
        <w:ind w:left="0" w:firstLine="643" w:firstLineChars="200"/>
      </w:pPr>
      <w:bookmarkStart w:id="1" w:name="_Toc26401550"/>
      <w:r>
        <w:rPr>
          <w:rFonts w:hint="eastAsia"/>
        </w:rPr>
        <w:t>资金</w:t>
      </w:r>
      <w:bookmarkEnd w:id="1"/>
      <w:r>
        <w:rPr>
          <w:rFonts w:hint="eastAsia"/>
        </w:rPr>
        <w:t>投入和使用情况</w:t>
      </w:r>
    </w:p>
    <w:p>
      <w:pPr>
        <w:ind w:firstLine="640" w:firstLineChars="200"/>
        <w:rPr>
          <w:rFonts w:hint="eastAsia" w:ascii="仿宋" w:hAnsi="仿宋" w:eastAsia="仿宋"/>
          <w:bCs/>
          <w:color w:val="000000"/>
          <w:sz w:val="32"/>
          <w:szCs w:val="32"/>
        </w:rPr>
      </w:pPr>
      <w:r>
        <w:rPr>
          <w:rFonts w:hint="eastAsia" w:ascii="仿宋" w:hAnsi="仿宋" w:eastAsia="仿宋"/>
          <w:bCs/>
          <w:color w:val="000000"/>
          <w:sz w:val="32"/>
          <w:szCs w:val="32"/>
        </w:rPr>
        <w:t>非遗专项补助项目预算总投入资金30万元，主要用于喀什地区文化馆开展各类非物质文化遗产保护活动经费开支，使喀什地区的非遗得到传承。</w:t>
      </w:r>
      <w:r>
        <w:rPr>
          <w:rFonts w:hint="eastAsia" w:ascii="仿宋" w:hAnsi="仿宋" w:eastAsia="仿宋"/>
          <w:bCs/>
          <w:color w:val="000000"/>
          <w:sz w:val="32"/>
          <w:szCs w:val="32"/>
          <w:lang w:val="en-US" w:eastAsia="zh-CN"/>
        </w:rPr>
        <w:t>该项目</w:t>
      </w:r>
      <w:r>
        <w:rPr>
          <w:rFonts w:hint="eastAsia" w:ascii="仿宋" w:hAnsi="仿宋" w:eastAsia="仿宋"/>
          <w:bCs/>
          <w:color w:val="000000"/>
          <w:sz w:val="32"/>
          <w:szCs w:val="32"/>
        </w:rPr>
        <w:t>实际支付资金8.7038万元，预算执行率29.01%。项目资金主要用于支付培训费用2.7598万元、故事集创作费用支付5.944万元，结余21.2962万元,结余的资金结转至2020年继续使用。</w:t>
      </w:r>
    </w:p>
    <w:p>
      <w:pPr>
        <w:pStyle w:val="24"/>
        <w:ind w:left="0" w:firstLine="643" w:firstLineChars="200"/>
      </w:pPr>
      <w:bookmarkStart w:id="2" w:name="_Toc26401551"/>
      <w:r>
        <w:rPr>
          <w:rFonts w:hint="eastAsia"/>
        </w:rPr>
        <w:t>绩效目标</w:t>
      </w:r>
      <w:bookmarkEnd w:id="2"/>
    </w:p>
    <w:p>
      <w:pPr>
        <w:ind w:firstLine="640" w:firstLineChars="200"/>
        <w:rPr>
          <w:rFonts w:ascii="仿宋" w:hAnsi="仿宋" w:eastAsia="仿宋"/>
          <w:bCs/>
          <w:color w:val="000000"/>
          <w:sz w:val="32"/>
          <w:szCs w:val="32"/>
        </w:rPr>
      </w:pPr>
      <w:r>
        <w:rPr>
          <w:rFonts w:hint="eastAsia" w:ascii="仿宋_GB2312" w:hAnsi="仿宋" w:eastAsia="仿宋_GB2312" w:cs="宋体"/>
          <w:sz w:val="32"/>
          <w:szCs w:val="32"/>
        </w:rPr>
        <w:t>总体目标为：</w:t>
      </w:r>
      <w:r>
        <w:rPr>
          <w:rFonts w:hint="eastAsia" w:ascii="仿宋" w:hAnsi="仿宋" w:eastAsia="仿宋"/>
          <w:bCs/>
          <w:color w:val="000000"/>
          <w:sz w:val="32"/>
          <w:szCs w:val="32"/>
        </w:rPr>
        <w:t>新财教（2018）327号拨入30万元，主要用于喀什地区文化馆开展各类非物质文化遗产保护活动经费开支，使喀什地区的非遗得到传承。</w:t>
      </w:r>
    </w:p>
    <w:p>
      <w:pPr>
        <w:spacing w:before="156" w:beforeLines="50" w:line="600" w:lineRule="exact"/>
        <w:rPr>
          <w:rFonts w:ascii="仿宋_GB2312" w:hAnsi="仿宋" w:eastAsia="仿宋_GB2312" w:cs="宋体"/>
          <w:color w:val="FF0000"/>
          <w:sz w:val="32"/>
          <w:szCs w:val="32"/>
        </w:rPr>
      </w:pPr>
      <w:r>
        <w:rPr>
          <w:rFonts w:hint="eastAsia" w:ascii="仿宋_GB2312" w:hAnsi="仿宋" w:eastAsia="仿宋_GB2312" w:cs="宋体"/>
          <w:sz w:val="32"/>
          <w:szCs w:val="32"/>
        </w:rPr>
        <w:t xml:space="preserve"> </w:t>
      </w:r>
      <w:r>
        <w:rPr>
          <w:rFonts w:ascii="仿宋_GB2312" w:hAnsi="仿宋" w:eastAsia="仿宋_GB2312" w:cs="宋体"/>
          <w:sz w:val="32"/>
          <w:szCs w:val="32"/>
        </w:rPr>
        <w:t xml:space="preserve">   </w:t>
      </w:r>
      <w:r>
        <w:rPr>
          <w:rFonts w:hint="eastAsia" w:ascii="仿宋_GB2312" w:hAnsi="仿宋" w:eastAsia="仿宋_GB2312" w:cs="宋体"/>
          <w:sz w:val="32"/>
          <w:szCs w:val="32"/>
        </w:rPr>
        <w:t>项目共设置</w:t>
      </w:r>
      <w:r>
        <w:rPr>
          <w:rFonts w:ascii="仿宋_GB2312" w:hAnsi="仿宋" w:eastAsia="仿宋_GB2312" w:cs="宋体"/>
          <w:sz w:val="32"/>
          <w:szCs w:val="32"/>
        </w:rPr>
        <w:t>1</w:t>
      </w:r>
      <w:r>
        <w:rPr>
          <w:rFonts w:hint="eastAsia" w:ascii="仿宋_GB2312" w:hAnsi="仿宋" w:eastAsia="仿宋_GB2312" w:cs="宋体"/>
          <w:sz w:val="32"/>
          <w:szCs w:val="32"/>
        </w:rPr>
        <w:t>级指标3个，二级指标</w:t>
      </w:r>
      <w:r>
        <w:rPr>
          <w:rFonts w:hint="eastAsia" w:ascii="仿宋_GB2312" w:hAnsi="仿宋" w:eastAsia="仿宋_GB2312" w:cs="宋体"/>
          <w:sz w:val="32"/>
          <w:szCs w:val="32"/>
          <w:lang w:val="en-US" w:eastAsia="zh-CN"/>
        </w:rPr>
        <w:t>7</w:t>
      </w:r>
      <w:r>
        <w:rPr>
          <w:rFonts w:hint="eastAsia" w:ascii="仿宋_GB2312" w:hAnsi="仿宋" w:eastAsia="仿宋_GB2312" w:cs="宋体"/>
          <w:sz w:val="32"/>
          <w:szCs w:val="32"/>
        </w:rPr>
        <w:t>个，三级指标</w:t>
      </w:r>
      <w:r>
        <w:rPr>
          <w:rFonts w:hint="eastAsia" w:ascii="仿宋_GB2312" w:hAnsi="仿宋" w:eastAsia="仿宋_GB2312" w:cs="宋体"/>
          <w:sz w:val="32"/>
          <w:szCs w:val="32"/>
          <w:lang w:val="en-US" w:eastAsia="zh-CN"/>
        </w:rPr>
        <w:t>9</w:t>
      </w:r>
      <w:r>
        <w:rPr>
          <w:rFonts w:hint="eastAsia" w:ascii="仿宋_GB2312" w:hAnsi="仿宋" w:eastAsia="仿宋_GB2312" w:cs="宋体"/>
          <w:sz w:val="32"/>
          <w:szCs w:val="32"/>
        </w:rPr>
        <w:t>个，绩效目标申报表详见附件1。</w:t>
      </w:r>
    </w:p>
    <w:p>
      <w:pPr>
        <w:pStyle w:val="22"/>
        <w:numPr>
          <w:ilvl w:val="0"/>
          <w:numId w:val="2"/>
        </w:numPr>
        <w:ind w:firstLineChars="0"/>
      </w:pPr>
      <w:bookmarkStart w:id="3" w:name="_Toc26401552"/>
      <w:r>
        <w:rPr>
          <w:rFonts w:hint="eastAsia"/>
        </w:rPr>
        <w:t>评价工作简述</w:t>
      </w:r>
      <w:bookmarkEnd w:id="3"/>
    </w:p>
    <w:p>
      <w:pPr>
        <w:pStyle w:val="24"/>
        <w:numPr>
          <w:ilvl w:val="0"/>
          <w:numId w:val="4"/>
        </w:numPr>
        <w:ind w:left="0" w:firstLine="643" w:firstLineChars="200"/>
      </w:pPr>
      <w:bookmarkStart w:id="4" w:name="_Toc26401553"/>
      <w:r>
        <w:rPr>
          <w:rFonts w:hint="eastAsia"/>
        </w:rPr>
        <w:t>评价目的</w:t>
      </w:r>
      <w:bookmarkEnd w:id="4"/>
    </w:p>
    <w:p>
      <w:pPr>
        <w:ind w:firstLine="640" w:firstLineChars="200"/>
        <w:rPr>
          <w:rFonts w:hint="eastAsia" w:ascii="仿宋" w:hAnsi="仿宋" w:eastAsia="仿宋"/>
          <w:bCs/>
          <w:color w:val="000000"/>
          <w:sz w:val="32"/>
          <w:szCs w:val="32"/>
        </w:rPr>
      </w:pPr>
      <w:r>
        <w:rPr>
          <w:rFonts w:hint="eastAsia" w:ascii="仿宋_GB2312" w:hAnsi="仿宋" w:eastAsia="仿宋_GB2312" w:cs="宋体"/>
          <w:sz w:val="32"/>
          <w:szCs w:val="32"/>
        </w:rPr>
        <w:t>本次绩效评价遵循财政部《项目</w:t>
      </w:r>
      <w:r>
        <w:rPr>
          <w:rFonts w:ascii="仿宋_GB2312" w:hAnsi="仿宋" w:eastAsia="仿宋_GB2312" w:cs="宋体"/>
          <w:sz w:val="32"/>
          <w:szCs w:val="32"/>
        </w:rPr>
        <w:t>支出绩效评价管理办法》（财预〔2020〕10号）和自治区财政厅</w:t>
      </w:r>
      <w:r>
        <w:rPr>
          <w:rFonts w:hint="eastAsia" w:ascii="仿宋_GB2312" w:hAnsi="仿宋_GB2312" w:eastAsia="仿宋_GB2312" w:cs="仿宋_GB2312"/>
          <w:kern w:val="0"/>
          <w:sz w:val="32"/>
          <w:szCs w:val="32"/>
          <w:shd w:val="clear" w:color="auto" w:fill="FFFFFF"/>
        </w:rPr>
        <w:t>《自治区财政支出绩效评价管理暂行办法》（新财预〔</w:t>
      </w:r>
      <w:r>
        <w:rPr>
          <w:rFonts w:ascii="仿宋_GB2312" w:hAnsi="仿宋_GB2312" w:eastAsia="仿宋_GB2312" w:cs="仿宋_GB2312"/>
          <w:kern w:val="0"/>
          <w:sz w:val="32"/>
          <w:szCs w:val="32"/>
          <w:shd w:val="clear" w:color="auto" w:fill="FFFFFF"/>
        </w:rPr>
        <w:t>2018〕189号</w:t>
      </w:r>
      <w:r>
        <w:rPr>
          <w:rFonts w:hint="eastAsia" w:ascii="仿宋_GB2312" w:hAnsi="仿宋_GB2312" w:eastAsia="仿宋_GB2312" w:cs="仿宋_GB2312"/>
          <w:kern w:val="0"/>
          <w:sz w:val="32"/>
          <w:szCs w:val="32"/>
          <w:shd w:val="clear" w:color="auto" w:fill="FFFFFF"/>
        </w:rPr>
        <w:t>）</w:t>
      </w:r>
      <w:r>
        <w:rPr>
          <w:rFonts w:ascii="仿宋_GB2312" w:hAnsi="仿宋" w:eastAsia="仿宋_GB2312" w:cs="宋体"/>
          <w:sz w:val="32"/>
          <w:szCs w:val="32"/>
        </w:rPr>
        <w:t>等相关政策文件与规定，</w:t>
      </w:r>
      <w:r>
        <w:rPr>
          <w:rFonts w:hint="eastAsia" w:ascii="仿宋_GB2312" w:hAnsi="仿宋" w:eastAsia="仿宋_GB2312" w:cs="宋体"/>
          <w:sz w:val="32"/>
          <w:szCs w:val="32"/>
        </w:rPr>
        <w:t>旨在评价</w:t>
      </w:r>
      <w:r>
        <w:rPr>
          <w:rFonts w:hint="eastAsia" w:ascii="仿宋_GB2312" w:hAnsi="仿宋" w:eastAsia="仿宋_GB2312" w:cs="宋体"/>
          <w:sz w:val="32"/>
          <w:szCs w:val="32"/>
          <w:lang w:eastAsia="zh-CN"/>
        </w:rPr>
        <w:t>（喀什地区文化馆非物质文化遗产</w:t>
      </w:r>
      <w:r>
        <w:rPr>
          <w:rFonts w:hint="eastAsia" w:ascii="仿宋_GB2312" w:hAnsi="仿宋" w:eastAsia="仿宋_GB2312" w:cs="宋体"/>
          <w:sz w:val="32"/>
          <w:szCs w:val="32"/>
          <w:lang w:val="en-US" w:eastAsia="zh-CN"/>
        </w:rPr>
        <w:t>30万</w:t>
      </w:r>
      <w:r>
        <w:rPr>
          <w:rFonts w:ascii="仿宋_GB2312" w:hAnsi="仿宋" w:eastAsia="仿宋_GB2312" w:cs="宋体"/>
          <w:sz w:val="32"/>
          <w:szCs w:val="32"/>
        </w:rPr>
        <w:t>资金项目</w:t>
      </w:r>
      <w:r>
        <w:rPr>
          <w:rFonts w:hint="eastAsia" w:ascii="仿宋_GB2312" w:hAnsi="仿宋" w:eastAsia="仿宋_GB2312" w:cs="宋体"/>
          <w:sz w:val="32"/>
          <w:szCs w:val="32"/>
          <w:lang w:eastAsia="zh-CN"/>
        </w:rPr>
        <w:t>）</w:t>
      </w:r>
      <w:r>
        <w:rPr>
          <w:rFonts w:hint="eastAsia" w:ascii="仿宋_GB2312" w:hAnsi="仿宋" w:eastAsia="仿宋_GB2312" w:cs="宋体"/>
          <w:sz w:val="32"/>
          <w:szCs w:val="32"/>
        </w:rPr>
        <w:t>实施前期、过程及效果，评价财政预算资金使用的效率及效益。</w:t>
      </w:r>
      <w:r>
        <w:rPr>
          <w:rFonts w:hint="eastAsia" w:ascii="仿宋_GB2312" w:hAnsi="仿宋" w:eastAsia="仿宋_GB2312" w:cs="宋体"/>
          <w:sz w:val="32"/>
          <w:szCs w:val="32"/>
          <w:lang w:eastAsia="zh-CN"/>
        </w:rPr>
        <w:t>该款项</w:t>
      </w:r>
      <w:r>
        <w:rPr>
          <w:rFonts w:hint="eastAsia" w:ascii="仿宋" w:hAnsi="仿宋" w:eastAsia="仿宋"/>
          <w:bCs/>
          <w:color w:val="000000"/>
          <w:sz w:val="32"/>
          <w:szCs w:val="32"/>
        </w:rPr>
        <w:t>主要用于喀什地区文化馆开展各类非物质文化遗产保护活动经费开支，使喀什地区</w:t>
      </w:r>
      <w:r>
        <w:rPr>
          <w:rFonts w:hint="eastAsia" w:ascii="仿宋" w:hAnsi="仿宋" w:eastAsia="仿宋"/>
          <w:bCs/>
          <w:color w:val="000000"/>
          <w:sz w:val="32"/>
          <w:szCs w:val="32"/>
          <w:lang w:eastAsia="zh-CN"/>
        </w:rPr>
        <w:t>全区的非物质文化遗产</w:t>
      </w:r>
      <w:r>
        <w:rPr>
          <w:rFonts w:hint="eastAsia" w:ascii="仿宋" w:hAnsi="仿宋" w:eastAsia="仿宋"/>
          <w:bCs/>
          <w:color w:val="000000"/>
          <w:sz w:val="32"/>
          <w:szCs w:val="32"/>
        </w:rPr>
        <w:t>得到</w:t>
      </w:r>
      <w:r>
        <w:rPr>
          <w:rFonts w:hint="eastAsia" w:ascii="仿宋" w:hAnsi="仿宋" w:eastAsia="仿宋"/>
          <w:bCs/>
          <w:color w:val="000000"/>
          <w:sz w:val="32"/>
          <w:szCs w:val="32"/>
          <w:lang w:eastAsia="zh-CN"/>
        </w:rPr>
        <w:t>更好的</w:t>
      </w:r>
      <w:r>
        <w:rPr>
          <w:rFonts w:hint="eastAsia" w:ascii="仿宋" w:hAnsi="仿宋" w:eastAsia="仿宋"/>
          <w:bCs/>
          <w:color w:val="000000"/>
          <w:sz w:val="32"/>
          <w:szCs w:val="32"/>
        </w:rPr>
        <w:t>传承</w:t>
      </w:r>
      <w:r>
        <w:rPr>
          <w:rFonts w:hint="eastAsia" w:ascii="仿宋" w:hAnsi="仿宋" w:eastAsia="仿宋"/>
          <w:bCs/>
          <w:color w:val="000000"/>
          <w:sz w:val="32"/>
          <w:szCs w:val="32"/>
          <w:lang w:eastAsia="zh-CN"/>
        </w:rPr>
        <w:t>与保护</w:t>
      </w:r>
      <w:r>
        <w:rPr>
          <w:rFonts w:hint="eastAsia" w:ascii="仿宋" w:hAnsi="仿宋" w:eastAsia="仿宋"/>
          <w:bCs/>
          <w:color w:val="000000"/>
          <w:sz w:val="32"/>
          <w:szCs w:val="32"/>
        </w:rPr>
        <w:t>。</w:t>
      </w:r>
    </w:p>
    <w:p>
      <w:pPr>
        <w:spacing w:before="156" w:beforeLines="50" w:line="600" w:lineRule="exact"/>
        <w:ind w:firstLine="640" w:firstLineChars="200"/>
        <w:rPr>
          <w:rFonts w:hint="eastAsia" w:ascii="仿宋_GB2312" w:hAnsi="仿宋" w:eastAsia="仿宋_GB2312" w:cs="宋体"/>
          <w:sz w:val="32"/>
          <w:szCs w:val="32"/>
        </w:rPr>
      </w:pPr>
      <w:r>
        <w:rPr>
          <w:rFonts w:hint="eastAsia" w:ascii="仿宋_GB2312" w:hAnsi="宋体" w:eastAsia="仿宋_GB2312"/>
          <w:kern w:val="0"/>
          <w:sz w:val="32"/>
          <w:szCs w:val="32"/>
        </w:rPr>
        <w:t>加强</w:t>
      </w:r>
      <w:r>
        <w:rPr>
          <w:rFonts w:hint="eastAsia" w:ascii="仿宋_GB2312" w:hAnsi="宋体" w:eastAsia="仿宋_GB2312"/>
          <w:kern w:val="0"/>
          <w:sz w:val="32"/>
          <w:szCs w:val="32"/>
          <w:lang w:eastAsia="zh-CN"/>
        </w:rPr>
        <w:t>喀什地区非遗工作</w:t>
      </w:r>
      <w:r>
        <w:rPr>
          <w:rFonts w:hint="eastAsia" w:ascii="仿宋_GB2312" w:hAnsi="宋体" w:eastAsia="仿宋_GB2312"/>
          <w:kern w:val="0"/>
          <w:sz w:val="32"/>
          <w:szCs w:val="32"/>
        </w:rPr>
        <w:t>的保护，充分发挥</w:t>
      </w:r>
      <w:r>
        <w:rPr>
          <w:rFonts w:hint="eastAsia" w:ascii="仿宋_GB2312" w:hAnsi="宋体" w:eastAsia="仿宋_GB2312"/>
          <w:kern w:val="0"/>
          <w:sz w:val="32"/>
          <w:szCs w:val="32"/>
          <w:lang w:eastAsia="zh-CN"/>
        </w:rPr>
        <w:t>项目资金</w:t>
      </w:r>
      <w:r>
        <w:rPr>
          <w:rFonts w:hint="eastAsia" w:ascii="仿宋_GB2312" w:hAnsi="宋体" w:eastAsia="仿宋_GB2312"/>
          <w:kern w:val="0"/>
          <w:sz w:val="32"/>
          <w:szCs w:val="32"/>
        </w:rPr>
        <w:t>在“非遗”保护中的</w:t>
      </w:r>
      <w:r>
        <w:rPr>
          <w:rFonts w:hint="eastAsia" w:ascii="仿宋_GB2312" w:hAnsi="宋体" w:eastAsia="仿宋_GB2312"/>
          <w:kern w:val="0"/>
          <w:sz w:val="32"/>
          <w:szCs w:val="32"/>
          <w:lang w:eastAsia="zh-CN"/>
        </w:rPr>
        <w:t>重要</w:t>
      </w:r>
      <w:r>
        <w:rPr>
          <w:rFonts w:hint="eastAsia" w:ascii="仿宋_GB2312" w:hAnsi="宋体" w:eastAsia="仿宋_GB2312"/>
          <w:kern w:val="0"/>
          <w:sz w:val="32"/>
          <w:szCs w:val="32"/>
        </w:rPr>
        <w:t>作用</w:t>
      </w:r>
      <w:r>
        <w:rPr>
          <w:rFonts w:hint="eastAsia" w:ascii="仿宋_GB2312" w:hAnsi="宋体" w:eastAsia="仿宋_GB2312"/>
          <w:kern w:val="0"/>
          <w:sz w:val="32"/>
          <w:szCs w:val="32"/>
          <w:lang w:eastAsia="zh-CN"/>
        </w:rPr>
        <w:t>。</w:t>
      </w:r>
      <w:r>
        <w:rPr>
          <w:rFonts w:hint="eastAsia" w:ascii="仿宋" w:hAnsi="仿宋" w:eastAsia="仿宋" w:cs="仿宋"/>
          <w:sz w:val="32"/>
          <w:szCs w:val="32"/>
        </w:rPr>
        <w:t>我们将在</w:t>
      </w:r>
      <w:r>
        <w:rPr>
          <w:rFonts w:hint="eastAsia" w:ascii="仿宋" w:hAnsi="仿宋" w:eastAsia="仿宋" w:cs="仿宋"/>
          <w:sz w:val="32"/>
          <w:szCs w:val="32"/>
          <w:lang w:eastAsia="zh-CN"/>
        </w:rPr>
        <w:t>全区非物质文化遗产的</w:t>
      </w:r>
      <w:r>
        <w:rPr>
          <w:rFonts w:hint="eastAsia" w:ascii="仿宋" w:hAnsi="仿宋" w:eastAsia="仿宋" w:cs="仿宋"/>
          <w:sz w:val="32"/>
          <w:szCs w:val="32"/>
        </w:rPr>
        <w:t>资料收集、传承人发掘、传承人培育以及学术交流、学术研究、宣传造势等方面为重点开展工作</w:t>
      </w:r>
      <w:r>
        <w:rPr>
          <w:rFonts w:hint="eastAsia" w:ascii="仿宋" w:hAnsi="仿宋" w:eastAsia="仿宋" w:cs="仿宋"/>
          <w:sz w:val="32"/>
          <w:szCs w:val="32"/>
          <w:lang w:eastAsia="zh-CN"/>
        </w:rPr>
        <w:t>，并</w:t>
      </w:r>
      <w:r>
        <w:rPr>
          <w:rFonts w:hint="eastAsia" w:ascii="仿宋" w:hAnsi="仿宋" w:eastAsia="仿宋"/>
          <w:color w:val="000000"/>
          <w:kern w:val="0"/>
          <w:sz w:val="32"/>
          <w:szCs w:val="32"/>
        </w:rPr>
        <w:t>加大非物质文化遗产保护工作专业技术人员的培训力度。</w:t>
      </w:r>
      <w:r>
        <w:rPr>
          <w:rFonts w:hint="eastAsia" w:ascii="仿宋" w:hAnsi="仿宋" w:eastAsia="仿宋" w:cs="仿宋"/>
          <w:sz w:val="32"/>
          <w:szCs w:val="32"/>
        </w:rPr>
        <w:t>使</w:t>
      </w:r>
      <w:r>
        <w:rPr>
          <w:rFonts w:hint="eastAsia" w:ascii="仿宋" w:hAnsi="仿宋" w:eastAsia="仿宋" w:cs="仿宋"/>
          <w:sz w:val="32"/>
          <w:szCs w:val="32"/>
          <w:lang w:eastAsia="zh-CN"/>
        </w:rPr>
        <w:t>这些</w:t>
      </w:r>
      <w:r>
        <w:rPr>
          <w:rFonts w:hint="eastAsia" w:ascii="仿宋" w:hAnsi="仿宋" w:eastAsia="仿宋" w:cs="仿宋"/>
          <w:sz w:val="32"/>
          <w:szCs w:val="32"/>
        </w:rPr>
        <w:t>民间文化遗产得到有效传承，并发扬光大。</w:t>
      </w:r>
    </w:p>
    <w:p>
      <w:pPr>
        <w:pStyle w:val="24"/>
        <w:numPr>
          <w:ilvl w:val="0"/>
          <w:numId w:val="4"/>
        </w:numPr>
        <w:ind w:left="0" w:firstLine="643" w:firstLineChars="200"/>
      </w:pPr>
      <w:r>
        <w:rPr>
          <w:rFonts w:hint="eastAsia"/>
        </w:rPr>
        <w:t>本次绩效评价的对象及范围</w:t>
      </w:r>
      <w:bookmarkStart w:id="5" w:name="_Toc26401554"/>
    </w:p>
    <w:p>
      <w:pPr>
        <w:spacing w:before="156" w:beforeLines="50" w:line="60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本次评价对象为</w:t>
      </w:r>
      <w:r>
        <w:rPr>
          <w:rFonts w:hint="eastAsia" w:ascii="仿宋_GB2312" w:hAnsi="仿宋" w:eastAsia="仿宋_GB2312" w:cs="宋体"/>
          <w:sz w:val="32"/>
          <w:szCs w:val="32"/>
          <w:lang w:eastAsia="zh-CN"/>
        </w:rPr>
        <w:t>喀什地区文化馆非物质文化遗产</w:t>
      </w:r>
      <w:r>
        <w:rPr>
          <w:rFonts w:hint="eastAsia" w:ascii="仿宋_GB2312" w:hAnsi="仿宋" w:eastAsia="仿宋_GB2312" w:cs="宋体"/>
          <w:sz w:val="32"/>
          <w:szCs w:val="32"/>
          <w:lang w:val="en-US" w:eastAsia="zh-CN"/>
        </w:rPr>
        <w:t>30万</w:t>
      </w:r>
      <w:r>
        <w:rPr>
          <w:rFonts w:ascii="仿宋_GB2312" w:hAnsi="仿宋" w:eastAsia="仿宋_GB2312" w:cs="宋体"/>
          <w:sz w:val="32"/>
          <w:szCs w:val="32"/>
        </w:rPr>
        <w:t>资金项目，评价范围包括专项资</w:t>
      </w:r>
      <w:r>
        <w:rPr>
          <w:rFonts w:hint="eastAsia" w:ascii="仿宋_GB2312" w:hAnsi="仿宋" w:eastAsia="仿宋_GB2312" w:cs="宋体"/>
          <w:sz w:val="32"/>
          <w:szCs w:val="32"/>
        </w:rPr>
        <w:t>金的安排、组织及使用效益。</w:t>
      </w:r>
    </w:p>
    <w:p>
      <w:pPr>
        <w:pStyle w:val="24"/>
        <w:numPr>
          <w:ilvl w:val="0"/>
          <w:numId w:val="4"/>
        </w:numPr>
        <w:ind w:left="0" w:firstLine="643" w:firstLineChars="200"/>
      </w:pPr>
      <w:r>
        <w:rPr>
          <w:rFonts w:hint="eastAsia"/>
        </w:rPr>
        <w:t>绩效评价原则</w:t>
      </w:r>
      <w:bookmarkEnd w:id="5"/>
    </w:p>
    <w:p>
      <w:pPr>
        <w:spacing w:before="156"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4"/>
        <w:keepNext w:val="0"/>
        <w:keepLines w:val="0"/>
        <w:numPr>
          <w:ilvl w:val="1"/>
          <w:numId w:val="5"/>
        </w:numPr>
        <w:ind w:left="0" w:firstLine="640" w:firstLineChars="200"/>
        <w:rPr>
          <w:rFonts w:hAnsi="仿宋" w:cs="宋体"/>
          <w:b w:val="0"/>
        </w:rPr>
      </w:pPr>
      <w:r>
        <w:rPr>
          <w:rFonts w:hint="eastAsia" w:hAnsi="仿宋" w:cs="宋体"/>
          <w:b w:val="0"/>
        </w:rPr>
        <w:t>科学公正。绩效评价应当运用科学合理的方法，按照规范的程序，对项目绩效进行客观、公正的反映。</w:t>
      </w:r>
    </w:p>
    <w:p>
      <w:pPr>
        <w:pStyle w:val="24"/>
        <w:keepNext w:val="0"/>
        <w:keepLines w:val="0"/>
        <w:numPr>
          <w:ilvl w:val="1"/>
          <w:numId w:val="5"/>
        </w:numPr>
        <w:ind w:left="0" w:firstLine="640" w:firstLineChars="200"/>
        <w:rPr>
          <w:rFonts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4"/>
        <w:keepNext w:val="0"/>
        <w:keepLines w:val="0"/>
        <w:numPr>
          <w:ilvl w:val="1"/>
          <w:numId w:val="5"/>
        </w:numPr>
        <w:ind w:left="0" w:firstLine="640" w:firstLineChars="200"/>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4"/>
        <w:keepNext w:val="0"/>
        <w:keepLines w:val="0"/>
        <w:numPr>
          <w:ilvl w:val="1"/>
          <w:numId w:val="5"/>
        </w:numPr>
        <w:ind w:left="0" w:firstLine="640" w:firstLineChars="200"/>
        <w:rPr>
          <w:b w:val="0"/>
        </w:rPr>
      </w:pPr>
      <w:r>
        <w:rPr>
          <w:rFonts w:hint="eastAsia" w:hAnsi="仿宋" w:cs="宋体"/>
          <w:b w:val="0"/>
        </w:rPr>
        <w:t>公开透明。绩效评价结果应依法依规公开，并自觉接受社会监督。</w:t>
      </w:r>
      <w:r>
        <w:rPr>
          <w:rFonts w:hint="eastAsia"/>
          <w:b w:val="0"/>
        </w:rPr>
        <w:t>绩效评价体系</w:t>
      </w:r>
    </w:p>
    <w:p>
      <w:pPr>
        <w:pStyle w:val="24"/>
        <w:numPr>
          <w:ilvl w:val="0"/>
          <w:numId w:val="4"/>
        </w:numPr>
        <w:ind w:left="0" w:firstLine="643" w:firstLineChars="200"/>
      </w:pPr>
      <w:r>
        <w:rPr>
          <w:rFonts w:hint="eastAsia"/>
        </w:rPr>
        <w:t>本项目绩效评价体系</w:t>
      </w:r>
    </w:p>
    <w:p>
      <w:pPr>
        <w:pStyle w:val="24"/>
        <w:numPr>
          <w:ilvl w:val="0"/>
          <w:numId w:val="0"/>
        </w:numPr>
        <w:ind w:firstLine="640" w:firstLineChars="200"/>
        <w:rPr>
          <w:b w:val="0"/>
        </w:rPr>
      </w:pPr>
      <w:r>
        <w:rPr>
          <w:rFonts w:hint="eastAsia"/>
          <w:b w:val="0"/>
        </w:rPr>
        <w:t>本项目绩效评价体系为根据财预</w:t>
      </w:r>
      <w:r>
        <w:rPr>
          <w:rFonts w:hint="eastAsia" w:ascii="仿宋" w:hAnsi="仿宋" w:eastAsia="仿宋"/>
          <w:b w:val="0"/>
        </w:rPr>
        <w:t>﹝</w:t>
      </w:r>
      <w:r>
        <w:rPr>
          <w:rFonts w:hint="eastAsia"/>
          <w:b w:val="0"/>
        </w:rPr>
        <w:t>2</w:t>
      </w:r>
      <w:r>
        <w:rPr>
          <w:b w:val="0"/>
        </w:rPr>
        <w:t>020</w:t>
      </w:r>
      <w:r>
        <w:rPr>
          <w:rFonts w:hint="eastAsia" w:ascii="仿宋" w:hAnsi="仿宋" w:eastAsia="仿宋"/>
          <w:b w:val="0"/>
        </w:rPr>
        <w:t>﹞</w:t>
      </w:r>
      <w:r>
        <w:rPr>
          <w:rFonts w:hint="eastAsia"/>
          <w:b w:val="0"/>
        </w:rPr>
        <w:t>1</w:t>
      </w:r>
      <w:r>
        <w:rPr>
          <w:b w:val="0"/>
        </w:rPr>
        <w:t>0</w:t>
      </w:r>
      <w:r>
        <w:rPr>
          <w:rFonts w:hint="eastAsia"/>
          <w:b w:val="0"/>
        </w:rPr>
        <w:t>号共性指标及个性化指标设置</w:t>
      </w:r>
      <w:r>
        <w:rPr>
          <w:rFonts w:hint="eastAsia"/>
          <w:b w:val="0"/>
          <w:color w:val="auto"/>
        </w:rPr>
        <w:t>，详见附件</w:t>
      </w:r>
      <w:r>
        <w:rPr>
          <w:rFonts w:hint="eastAsia"/>
          <w:b w:val="0"/>
          <w:color w:val="auto"/>
          <w:lang w:val="en-US" w:eastAsia="zh-CN"/>
        </w:rPr>
        <w:t>4</w:t>
      </w:r>
      <w:r>
        <w:rPr>
          <w:rFonts w:hint="eastAsia"/>
          <w:b w:val="0"/>
          <w:color w:val="auto"/>
        </w:rPr>
        <w:t>。</w:t>
      </w:r>
    </w:p>
    <w:p>
      <w:pPr>
        <w:pStyle w:val="24"/>
        <w:keepNext w:val="0"/>
        <w:keepLines w:val="0"/>
        <w:numPr>
          <w:ilvl w:val="0"/>
          <w:numId w:val="4"/>
        </w:numPr>
        <w:ind w:left="0" w:firstLine="643" w:firstLineChars="200"/>
      </w:pPr>
      <w:bookmarkStart w:id="6" w:name="_Toc26401555"/>
      <w:r>
        <w:rPr>
          <w:rFonts w:hint="eastAsia"/>
        </w:rPr>
        <w:t>绩效评价方法</w:t>
      </w:r>
      <w:bookmarkEnd w:id="6"/>
    </w:p>
    <w:p>
      <w:pPr>
        <w:spacing w:before="156"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本次绩效评价方法的选用简便有效的原则采用成本效益分析法、问卷调查。</w:t>
      </w:r>
    </w:p>
    <w:p>
      <w:pPr>
        <w:pStyle w:val="24"/>
        <w:keepNext w:val="0"/>
        <w:keepLines w:val="0"/>
        <w:numPr>
          <w:ilvl w:val="0"/>
          <w:numId w:val="4"/>
        </w:numPr>
        <w:ind w:left="0" w:firstLine="643" w:firstLineChars="200"/>
      </w:pPr>
      <w:r>
        <w:rPr>
          <w:rFonts w:hint="eastAsia"/>
        </w:rPr>
        <w:t>评价标准</w:t>
      </w:r>
    </w:p>
    <w:p>
      <w:pPr>
        <w:pStyle w:val="24"/>
        <w:keepNext w:val="0"/>
        <w:keepLines w:val="0"/>
        <w:numPr>
          <w:ilvl w:val="0"/>
          <w:numId w:val="0"/>
        </w:numPr>
      </w:pPr>
      <w:r>
        <w:rPr>
          <w:rFonts w:hint="eastAsia"/>
        </w:rPr>
        <w:t xml:space="preserve"> </w:t>
      </w:r>
      <w:r>
        <w:t xml:space="preserve">   </w:t>
      </w:r>
      <w:r>
        <w:rPr>
          <w:rFonts w:hint="eastAsia"/>
        </w:rPr>
        <w:t>项目评价标准采用</w:t>
      </w:r>
      <w:r>
        <w:rPr>
          <w:rFonts w:hint="eastAsia"/>
          <w:bCs w:val="0"/>
        </w:rPr>
        <w:t>计划标准、行业标准</w:t>
      </w:r>
    </w:p>
    <w:p>
      <w:pPr>
        <w:pStyle w:val="24"/>
        <w:keepNext w:val="0"/>
        <w:keepLines w:val="0"/>
        <w:numPr>
          <w:ilvl w:val="0"/>
          <w:numId w:val="4"/>
        </w:numPr>
        <w:ind w:left="0" w:firstLine="643" w:firstLineChars="200"/>
      </w:pPr>
      <w:r>
        <w:rPr>
          <w:rFonts w:hint="eastAsia"/>
        </w:rPr>
        <w:t>绩效评价工作过程</w:t>
      </w:r>
    </w:p>
    <w:p>
      <w:pPr>
        <w:pStyle w:val="24"/>
        <w:keepNext w:val="0"/>
        <w:keepLines w:val="0"/>
        <w:numPr>
          <w:ilvl w:val="0"/>
          <w:numId w:val="0"/>
        </w:numPr>
        <w:ind w:firstLine="640" w:firstLineChars="200"/>
        <w:outlineLvl w:val="9"/>
        <w:rPr>
          <w:b w:val="0"/>
          <w:bCs w:val="0"/>
        </w:rPr>
      </w:pPr>
      <w:r>
        <w:rPr>
          <w:rFonts w:hint="eastAsia"/>
          <w:b w:val="0"/>
          <w:bCs w:val="0"/>
        </w:rPr>
        <w:t>本次评价成立了评价</w:t>
      </w:r>
      <w:r>
        <w:rPr>
          <w:rFonts w:hint="eastAsia"/>
          <w:b w:val="0"/>
          <w:bCs w:val="0"/>
          <w:lang w:eastAsia="zh-CN"/>
        </w:rPr>
        <w:t>小组</w:t>
      </w:r>
      <w:r>
        <w:rPr>
          <w:rFonts w:hint="eastAsia"/>
          <w:b w:val="0"/>
          <w:bCs w:val="0"/>
        </w:rPr>
        <w:t>，成员如下：</w:t>
      </w:r>
    </w:p>
    <w:tbl>
      <w:tblPr>
        <w:tblStyle w:val="13"/>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评价人</w:t>
            </w:r>
          </w:p>
        </w:tc>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职责</w:t>
            </w:r>
          </w:p>
        </w:tc>
        <w:tc>
          <w:tcPr>
            <w:tcW w:w="2766" w:type="dxa"/>
            <w:vAlign w:val="center"/>
          </w:tcPr>
          <w:p>
            <w:pPr>
              <w:pStyle w:val="24"/>
              <w:keepNext w:val="0"/>
              <w:keepLines w:val="0"/>
              <w:numPr>
                <w:ilvl w:val="0"/>
                <w:numId w:val="0"/>
              </w:numPr>
              <w:spacing w:line="240" w:lineRule="atLeast"/>
              <w:jc w:val="center"/>
              <w:rPr>
                <w:b w:val="0"/>
                <w:bCs w:val="0"/>
              </w:rPr>
            </w:pPr>
            <w:r>
              <w:rPr>
                <w:rFonts w:hint="eastAsia"/>
                <w:b w:val="0"/>
                <w:bCs w:val="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rFonts w:hint="eastAsia" w:eastAsia="仿宋_GB2312"/>
                <w:b w:val="0"/>
                <w:bCs w:val="0"/>
                <w:lang w:eastAsia="zh-CN"/>
              </w:rPr>
            </w:pPr>
            <w:r>
              <w:rPr>
                <w:rFonts w:hint="eastAsia"/>
                <w:b w:val="0"/>
                <w:bCs w:val="0"/>
                <w:lang w:eastAsia="zh-CN"/>
              </w:rPr>
              <w:t>瞿娜</w:t>
            </w:r>
          </w:p>
        </w:tc>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评价组组长</w:t>
            </w:r>
          </w:p>
        </w:tc>
        <w:tc>
          <w:tcPr>
            <w:tcW w:w="2766" w:type="dxa"/>
            <w:vAlign w:val="center"/>
          </w:tcPr>
          <w:p>
            <w:pPr>
              <w:pStyle w:val="24"/>
              <w:keepNext w:val="0"/>
              <w:keepLines w:val="0"/>
              <w:numPr>
                <w:ilvl w:val="0"/>
                <w:numId w:val="0"/>
              </w:numPr>
              <w:spacing w:line="240" w:lineRule="atLeast"/>
              <w:jc w:val="center"/>
              <w:rPr>
                <w:rFonts w:hint="eastAsia" w:eastAsia="仿宋_GB2312"/>
                <w:b w:val="0"/>
                <w:bCs w:val="0"/>
                <w:lang w:eastAsia="zh-CN"/>
              </w:rPr>
            </w:pPr>
            <w:r>
              <w:rPr>
                <w:rFonts w:hint="eastAsia"/>
                <w:b w:val="0"/>
                <w:bCs w:val="0"/>
                <w:lang w:eastAsia="zh-CN"/>
              </w:rPr>
              <w:t>副馆长、副研究馆员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rFonts w:hint="eastAsia"/>
                <w:b w:val="0"/>
                <w:bCs w:val="0"/>
                <w:lang w:eastAsia="zh-CN"/>
              </w:rPr>
            </w:pPr>
            <w:r>
              <w:rPr>
                <w:rFonts w:hint="eastAsia"/>
                <w:b w:val="0"/>
                <w:bCs w:val="0"/>
                <w:lang w:eastAsia="zh-CN"/>
              </w:rPr>
              <w:t>葛晓</w:t>
            </w:r>
          </w:p>
        </w:tc>
        <w:tc>
          <w:tcPr>
            <w:tcW w:w="2765" w:type="dxa"/>
            <w:vAlign w:val="center"/>
          </w:tcPr>
          <w:p>
            <w:pPr>
              <w:pStyle w:val="24"/>
              <w:keepNext w:val="0"/>
              <w:keepLines w:val="0"/>
              <w:numPr>
                <w:ilvl w:val="0"/>
                <w:numId w:val="0"/>
              </w:numPr>
              <w:spacing w:line="240" w:lineRule="atLeast"/>
              <w:jc w:val="center"/>
              <w:rPr>
                <w:rFonts w:hint="eastAsia"/>
                <w:b w:val="0"/>
                <w:bCs w:val="0"/>
              </w:rPr>
            </w:pPr>
            <w:r>
              <w:rPr>
                <w:rFonts w:hint="eastAsia"/>
                <w:b w:val="0"/>
                <w:bCs w:val="0"/>
              </w:rPr>
              <w:t>评价</w:t>
            </w:r>
            <w:r>
              <w:rPr>
                <w:rFonts w:hint="eastAsia"/>
                <w:b w:val="0"/>
                <w:bCs w:val="0"/>
                <w:lang w:eastAsia="zh-CN"/>
              </w:rPr>
              <w:t>副</w:t>
            </w:r>
            <w:r>
              <w:rPr>
                <w:rFonts w:hint="eastAsia"/>
                <w:b w:val="0"/>
                <w:bCs w:val="0"/>
              </w:rPr>
              <w:t>组组长</w:t>
            </w:r>
          </w:p>
        </w:tc>
        <w:tc>
          <w:tcPr>
            <w:tcW w:w="2766" w:type="dxa"/>
            <w:vAlign w:val="center"/>
          </w:tcPr>
          <w:p>
            <w:pPr>
              <w:pStyle w:val="24"/>
              <w:keepNext w:val="0"/>
              <w:keepLines w:val="0"/>
              <w:numPr>
                <w:ilvl w:val="0"/>
                <w:numId w:val="0"/>
              </w:numPr>
              <w:spacing w:line="240" w:lineRule="atLeast"/>
              <w:jc w:val="center"/>
              <w:rPr>
                <w:rFonts w:hint="eastAsia"/>
                <w:b w:val="0"/>
                <w:bCs w:val="0"/>
                <w:lang w:eastAsia="zh-CN"/>
              </w:rPr>
            </w:pPr>
            <w:r>
              <w:rPr>
                <w:rFonts w:hint="eastAsia"/>
                <w:b w:val="0"/>
                <w:bCs w:val="0"/>
                <w:lang w:eastAsia="zh-CN"/>
              </w:rPr>
              <w:t>副馆长、馆员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rFonts w:hint="eastAsia" w:eastAsia="仿宋_GB2312"/>
                <w:b w:val="0"/>
                <w:bCs w:val="0"/>
                <w:lang w:eastAsia="zh-CN"/>
              </w:rPr>
            </w:pPr>
            <w:r>
              <w:rPr>
                <w:rFonts w:hint="eastAsia"/>
                <w:b w:val="0"/>
                <w:bCs w:val="0"/>
                <w:lang w:eastAsia="zh-CN"/>
              </w:rPr>
              <w:t>张国庆</w:t>
            </w:r>
          </w:p>
        </w:tc>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4"/>
              <w:keepNext w:val="0"/>
              <w:keepLines w:val="0"/>
              <w:numPr>
                <w:ilvl w:val="0"/>
                <w:numId w:val="0"/>
              </w:numPr>
              <w:spacing w:line="240" w:lineRule="atLeast"/>
              <w:jc w:val="center"/>
              <w:rPr>
                <w:b w:val="0"/>
                <w:bCs w:val="0"/>
              </w:rPr>
            </w:pPr>
            <w:r>
              <w:rPr>
                <w:rFonts w:hint="eastAsia"/>
                <w:b w:val="0"/>
                <w:bCs w:val="0"/>
                <w:lang w:eastAsia="zh-CN"/>
              </w:rPr>
              <w:t>副研究馆员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rFonts w:hint="eastAsia" w:eastAsia="仿宋_GB2312"/>
                <w:b w:val="0"/>
                <w:bCs w:val="0"/>
                <w:lang w:eastAsia="zh-CN"/>
              </w:rPr>
            </w:pPr>
            <w:r>
              <w:rPr>
                <w:rFonts w:hint="eastAsia"/>
                <w:b w:val="0"/>
                <w:bCs w:val="0"/>
                <w:lang w:eastAsia="zh-CN"/>
              </w:rPr>
              <w:t>胡越峰</w:t>
            </w:r>
          </w:p>
        </w:tc>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4"/>
              <w:keepNext w:val="0"/>
              <w:keepLines w:val="0"/>
              <w:numPr>
                <w:ilvl w:val="0"/>
                <w:numId w:val="0"/>
              </w:numPr>
              <w:spacing w:line="240" w:lineRule="atLeast"/>
              <w:jc w:val="center"/>
              <w:rPr>
                <w:rFonts w:hint="eastAsia" w:eastAsia="仿宋_GB2312"/>
                <w:b w:val="0"/>
                <w:bCs w:val="0"/>
                <w:lang w:eastAsia="zh-CN"/>
              </w:rPr>
            </w:pPr>
            <w:r>
              <w:rPr>
                <w:rFonts w:hint="eastAsia"/>
                <w:b w:val="0"/>
                <w:bCs w:val="0"/>
                <w:lang w:eastAsia="zh-CN"/>
              </w:rPr>
              <w:t>办公室主任</w:t>
            </w:r>
          </w:p>
        </w:tc>
      </w:tr>
    </w:tbl>
    <w:p>
      <w:pPr>
        <w:pStyle w:val="24"/>
        <w:keepNext w:val="0"/>
        <w:keepLines w:val="0"/>
        <w:numPr>
          <w:ilvl w:val="0"/>
          <w:numId w:val="0"/>
        </w:numPr>
        <w:ind w:firstLine="640" w:firstLineChars="200"/>
        <w:outlineLvl w:val="9"/>
        <w:rPr>
          <w:b w:val="0"/>
          <w:bCs w:val="0"/>
        </w:rPr>
      </w:pPr>
      <w:r>
        <w:rPr>
          <w:rFonts w:hint="eastAsia"/>
          <w:b w:val="0"/>
          <w:bCs w:val="0"/>
        </w:rPr>
        <w:t>本次评价设计了评价方案、评价指标体系，通过资料分析、调研、访谈满意度调查等方式形成评价结论，在与项目单位沟通后确定评价意见，并出具评价报告。　</w:t>
      </w:r>
    </w:p>
    <w:p>
      <w:pPr>
        <w:pStyle w:val="22"/>
        <w:numPr>
          <w:ilvl w:val="0"/>
          <w:numId w:val="2"/>
        </w:numPr>
        <w:ind w:firstLineChars="0"/>
        <w:rPr>
          <w:color w:val="auto"/>
        </w:rPr>
      </w:pPr>
      <w:bookmarkStart w:id="7" w:name="_Toc26401558"/>
      <w:r>
        <w:rPr>
          <w:rFonts w:hint="eastAsia" w:ascii="黑体" w:hAnsi="黑体"/>
          <w:color w:val="auto"/>
        </w:rPr>
        <w:t>综合评价情况及评价结论</w:t>
      </w:r>
    </w:p>
    <w:p>
      <w:pPr>
        <w:pStyle w:val="22"/>
        <w:ind w:firstLine="640"/>
        <w:rPr>
          <w:rFonts w:ascii="仿宋_GB2312" w:eastAsia="仿宋_GB2312" w:hAnsiTheme="majorHAnsi"/>
          <w:b w:val="0"/>
          <w:bCs w:val="0"/>
          <w:kern w:val="2"/>
        </w:rPr>
      </w:pPr>
      <w:r>
        <w:rPr>
          <w:rFonts w:hint="eastAsia" w:ascii="仿宋_GB2312" w:eastAsia="仿宋_GB2312" w:hAnsiTheme="majorHAnsi"/>
          <w:b w:val="0"/>
          <w:bCs w:val="0"/>
          <w:kern w:val="2"/>
        </w:rPr>
        <w:t>经评价组通过实地调研、资料分析等方式，</w:t>
      </w:r>
      <w:r>
        <w:rPr>
          <w:rFonts w:hint="eastAsia" w:ascii="仿宋_GB2312" w:hAnsi="仿宋" w:eastAsia="仿宋_GB2312" w:cs="宋体"/>
          <w:b w:val="0"/>
          <w:bCs w:val="0"/>
          <w:sz w:val="32"/>
          <w:szCs w:val="32"/>
        </w:rPr>
        <w:t>成本效益分析法、问卷调查</w:t>
      </w:r>
      <w:r>
        <w:rPr>
          <w:rFonts w:hint="eastAsia" w:ascii="仿宋_GB2312" w:eastAsia="仿宋_GB2312" w:hAnsiTheme="majorHAnsi"/>
          <w:b w:val="0"/>
          <w:bCs w:val="0"/>
          <w:kern w:val="2"/>
        </w:rPr>
        <w:t>等对项目的决策、管理、绩效进行的综合评价分析，项目得分为</w:t>
      </w:r>
      <w:r>
        <w:rPr>
          <w:rFonts w:hint="eastAsia" w:ascii="仿宋_GB2312" w:eastAsia="仿宋_GB2312" w:hAnsiTheme="majorHAnsi"/>
          <w:b w:val="0"/>
          <w:bCs w:val="0"/>
          <w:kern w:val="2"/>
          <w:lang w:val="en-US" w:eastAsia="zh-CN"/>
        </w:rPr>
        <w:t>90.5</w:t>
      </w:r>
      <w:r>
        <w:rPr>
          <w:rFonts w:hint="eastAsia" w:ascii="仿宋_GB2312" w:eastAsia="仿宋_GB2312" w:hAnsiTheme="majorHAnsi"/>
          <w:b w:val="0"/>
          <w:bCs w:val="0"/>
          <w:kern w:val="2"/>
        </w:rPr>
        <w:t>分，评价结果为优，详见附件6。</w:t>
      </w:r>
    </w:p>
    <w:p>
      <w:pPr>
        <w:pStyle w:val="22"/>
        <w:numPr>
          <w:ilvl w:val="0"/>
          <w:numId w:val="2"/>
        </w:numPr>
        <w:ind w:firstLineChars="0"/>
      </w:pPr>
      <w:r>
        <w:rPr>
          <w:rFonts w:hint="eastAsia"/>
        </w:rPr>
        <w:t>绩效评价指标分析</w:t>
      </w:r>
      <w:bookmarkEnd w:id="7"/>
    </w:p>
    <w:p>
      <w:pPr>
        <w:pStyle w:val="18"/>
        <w:numPr>
          <w:ilvl w:val="0"/>
          <w:numId w:val="6"/>
        </w:numPr>
        <w:spacing w:before="156"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27"/>
        <w:ind w:firstLine="640"/>
        <w:rPr>
          <w:rFonts w:hint="eastAsia" w:ascii="仿宋_GB2312" w:hAnsi="仿宋" w:eastAsia="仿宋_GB2312" w:cs="宋体"/>
          <w:sz w:val="32"/>
          <w:szCs w:val="32"/>
          <w:lang w:eastAsia="zh-CN"/>
        </w:rPr>
      </w:pPr>
      <w:r>
        <w:rPr>
          <w:rFonts w:hint="eastAsia" w:ascii="仿宋_GB2312" w:hAnsi="仿宋" w:cs="宋体"/>
          <w:sz w:val="32"/>
          <w:szCs w:val="32"/>
        </w:rPr>
        <w:t>本项目的立项符合相关法规政策</w:t>
      </w:r>
      <w:r>
        <w:rPr>
          <w:rFonts w:hint="eastAsia" w:ascii="仿宋_GB2312" w:hAnsi="仿宋" w:cs="宋体"/>
          <w:sz w:val="32"/>
          <w:szCs w:val="32"/>
          <w:lang w:eastAsia="zh-CN"/>
        </w:rPr>
        <w:t>《中华人民共和国非物质文化遗产法》</w:t>
      </w:r>
      <w:r>
        <w:rPr>
          <w:rFonts w:hint="eastAsia" w:ascii="仿宋_GB2312" w:hAnsi="仿宋" w:cs="宋体"/>
          <w:sz w:val="32"/>
          <w:szCs w:val="32"/>
        </w:rPr>
        <w:t>及部门职责，依据充分；项目按照规定的程序申请设立；审批文件、材料符合相关要求；项目前期已经过必要的绩效评估、集体决策</w:t>
      </w:r>
      <w:r>
        <w:rPr>
          <w:rFonts w:hint="eastAsia" w:ascii="仿宋_GB2312" w:hAnsi="仿宋" w:cs="宋体"/>
          <w:sz w:val="32"/>
          <w:szCs w:val="32"/>
          <w:lang w:eastAsia="zh-CN"/>
        </w:rPr>
        <w:t>。</w:t>
      </w:r>
    </w:p>
    <w:p>
      <w:pPr>
        <w:spacing w:line="500" w:lineRule="exact"/>
        <w:ind w:firstLine="645"/>
        <w:rPr>
          <w:rFonts w:hint="eastAsia" w:ascii="仿宋_GB2312" w:hAnsi="仿宋" w:eastAsia="仿宋_GB2312" w:cs="宋体"/>
          <w:sz w:val="32"/>
          <w:szCs w:val="32"/>
        </w:rPr>
      </w:pPr>
      <w:r>
        <w:rPr>
          <w:rFonts w:hint="eastAsia" w:ascii="仿宋_GB2312" w:hAnsi="仿宋" w:eastAsia="仿宋_GB2312" w:cs="宋体"/>
          <w:sz w:val="32"/>
          <w:szCs w:val="32"/>
        </w:rPr>
        <w:t>项目根据相关文件要求设置了绩效目标，项目绩效目标基本合理，与实际工作内容相关</w:t>
      </w:r>
      <w:r>
        <w:rPr>
          <w:rFonts w:hint="eastAsia" w:ascii="仿宋_GB2312" w:hAnsi="仿宋" w:eastAsia="仿宋_GB2312" w:cs="宋体"/>
          <w:sz w:val="32"/>
          <w:szCs w:val="32"/>
          <w:lang w:eastAsia="zh-CN"/>
        </w:rPr>
        <w:t>无挪用情况</w:t>
      </w:r>
      <w:r>
        <w:rPr>
          <w:rFonts w:hint="eastAsia" w:ascii="仿宋_GB2312" w:hAnsi="仿宋" w:eastAsia="仿宋_GB2312" w:cs="宋体"/>
          <w:sz w:val="32"/>
          <w:szCs w:val="32"/>
        </w:rPr>
        <w:t>；项目预期产出效益和效果符合正常的业绩水平；与预算确定的项目投资额或资金量相匹配。</w:t>
      </w:r>
      <w:r>
        <w:rPr>
          <w:rFonts w:hint="eastAsia" w:ascii="仿宋_GB2312" w:hAnsi="仿宋" w:eastAsia="仿宋_GB2312" w:cs="宋体"/>
          <w:sz w:val="32"/>
          <w:szCs w:val="32"/>
          <w:lang w:eastAsia="zh-CN"/>
        </w:rPr>
        <w:t>已</w:t>
      </w:r>
      <w:r>
        <w:rPr>
          <w:rFonts w:hint="eastAsia" w:ascii="仿宋_GB2312" w:hAnsi="仿宋" w:eastAsia="仿宋_GB2312" w:cs="宋体"/>
          <w:sz w:val="32"/>
          <w:szCs w:val="32"/>
        </w:rPr>
        <w:t>将项目绩效目标细化分解为具体的绩效指标；通过清晰、可衡量的指标值予以体现；与项目目标任务数或计划数相对应。</w:t>
      </w:r>
    </w:p>
    <w:p>
      <w:pPr>
        <w:spacing w:line="500" w:lineRule="exact"/>
        <w:ind w:firstLine="645"/>
        <w:rPr>
          <w:rFonts w:hint="eastAsia" w:ascii="仿宋_GB2312" w:hAnsi="仿宋" w:eastAsia="仿宋_GB2312" w:cs="宋体"/>
          <w:sz w:val="32"/>
          <w:szCs w:val="32"/>
        </w:rPr>
      </w:pPr>
      <w:r>
        <w:rPr>
          <w:rFonts w:hint="eastAsia" w:ascii="仿宋_GB2312" w:hAnsi="仿宋" w:eastAsia="仿宋_GB2312" w:cs="宋体"/>
          <w:sz w:val="32"/>
          <w:szCs w:val="32"/>
        </w:rPr>
        <w:t>项目在资金投入方面，预算编制经过科学论证、有明确标准，资金额度与年度目标相适应，用以反映和考核项目预算编制的科学性、合理性情况。项目预算资金分配有测算依据，与补助单位或地方实际相适应。</w:t>
      </w:r>
    </w:p>
    <w:p>
      <w:pPr>
        <w:pStyle w:val="18"/>
        <w:numPr>
          <w:ilvl w:val="0"/>
          <w:numId w:val="6"/>
        </w:numPr>
        <w:spacing w:before="156"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在资金管理方面，项目资金到位足额及时，</w:t>
      </w:r>
      <w:r>
        <w:rPr>
          <w:rFonts w:hint="eastAsia" w:ascii="仿宋_GB2312" w:hAnsi="仿宋" w:eastAsia="仿宋_GB2312" w:cs="宋体"/>
          <w:sz w:val="32"/>
          <w:szCs w:val="32"/>
          <w:lang w:eastAsia="zh-CN"/>
        </w:rPr>
        <w:t>并能</w:t>
      </w:r>
      <w:r>
        <w:rPr>
          <w:rFonts w:hint="eastAsia" w:ascii="仿宋_GB2312" w:hAnsi="仿宋" w:eastAsia="仿宋_GB2312" w:cs="宋体"/>
          <w:sz w:val="32"/>
          <w:szCs w:val="32"/>
        </w:rPr>
        <w:t>及时支付，资金使用符合国家法规和财务管理制度；资金拨付有完整的审批程序和手续，符合项目预算批复或合同规定的用途；</w:t>
      </w:r>
      <w:r>
        <w:rPr>
          <w:rFonts w:hint="eastAsia" w:ascii="仿宋_GB2312" w:hAnsi="仿宋" w:eastAsia="仿宋_GB2312" w:cs="宋体"/>
          <w:sz w:val="32"/>
          <w:szCs w:val="32"/>
          <w:lang w:eastAsia="zh-CN"/>
        </w:rPr>
        <w:t>不</w:t>
      </w:r>
      <w:r>
        <w:rPr>
          <w:rFonts w:hint="eastAsia" w:ascii="仿宋_GB2312" w:hAnsi="仿宋" w:eastAsia="仿宋_GB2312" w:cs="宋体"/>
          <w:sz w:val="32"/>
          <w:szCs w:val="32"/>
        </w:rPr>
        <w:t>存在截留、挤占、挪用、虚列支出等情况。</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在项目组织实施方面，项目单位已制定或具有相应的财务和业务管理制度，财务和业务管理制度合法、合规、完整。项目实施遵守相关法律法规和相关管理规定。</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项目调整及支出调整手续完备，项目合同书、验收报告、技术鉴定等资料齐全并及时归档，项目实施的人员条件、场地设备、信息支撑等落实到位。</w:t>
      </w:r>
    </w:p>
    <w:p>
      <w:pPr>
        <w:pStyle w:val="18"/>
        <w:numPr>
          <w:ilvl w:val="0"/>
          <w:numId w:val="6"/>
        </w:numPr>
        <w:spacing w:before="156"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rPr>
          <w:rFonts w:hint="eastAsia" w:ascii="仿宋_GB2312" w:eastAsia="仿宋_GB2312"/>
          <w:sz w:val="32"/>
          <w:szCs w:val="32"/>
        </w:rPr>
      </w:pPr>
      <w:r>
        <w:rPr>
          <w:rFonts w:hint="eastAsia" w:ascii="仿宋_GB2312" w:eastAsia="仿宋_GB2312"/>
          <w:sz w:val="32"/>
          <w:szCs w:val="32"/>
        </w:rPr>
        <w:t>项目产出数量</w:t>
      </w:r>
      <w:r>
        <w:rPr>
          <w:rFonts w:hint="eastAsia" w:ascii="仿宋_GB2312" w:eastAsia="仿宋_GB2312"/>
          <w:sz w:val="32"/>
          <w:szCs w:val="32"/>
          <w:lang w:eastAsia="zh-CN"/>
        </w:rPr>
        <w:t>指标</w:t>
      </w:r>
      <w:r>
        <w:rPr>
          <w:rFonts w:hint="eastAsia" w:ascii="仿宋_GB2312" w:eastAsia="仿宋_GB2312"/>
          <w:sz w:val="32"/>
          <w:szCs w:val="32"/>
          <w:lang w:val="en-US" w:eastAsia="zh-CN"/>
        </w:rPr>
        <w:t>:</w:t>
      </w:r>
      <w:r>
        <w:rPr>
          <w:rFonts w:hint="eastAsia" w:ascii="仿宋_GB2312" w:eastAsia="仿宋_GB2312"/>
          <w:sz w:val="32"/>
          <w:szCs w:val="32"/>
        </w:rPr>
        <w:t>开展非遗活动次数，预期指标是4次，实际完成值是3次，指标完成率是75%，未达到预期目标，未完成的原因是由于各方协调沟通不足，导致项目进展缓慢 。</w:t>
      </w:r>
    </w:p>
    <w:p>
      <w:pPr>
        <w:spacing w:before="156" w:beforeLines="50" w:line="600" w:lineRule="exact"/>
        <w:ind w:firstLine="660"/>
        <w:rPr>
          <w:rFonts w:hint="eastAsia" w:ascii="仿宋_GB2312" w:eastAsia="仿宋_GB2312"/>
          <w:sz w:val="32"/>
          <w:szCs w:val="32"/>
        </w:rPr>
      </w:pPr>
      <w:r>
        <w:rPr>
          <w:rFonts w:hint="eastAsia" w:ascii="仿宋_GB2312" w:eastAsia="仿宋_GB2312"/>
          <w:sz w:val="32"/>
          <w:szCs w:val="32"/>
        </w:rPr>
        <w:t>项目产出质量</w:t>
      </w:r>
      <w:r>
        <w:rPr>
          <w:rFonts w:hint="eastAsia" w:ascii="仿宋_GB2312" w:eastAsia="仿宋_GB2312"/>
          <w:sz w:val="32"/>
          <w:szCs w:val="32"/>
          <w:lang w:eastAsia="zh-CN"/>
        </w:rPr>
        <w:t>指标：</w:t>
      </w:r>
      <w:r>
        <w:rPr>
          <w:rFonts w:hint="eastAsia" w:ascii="仿宋_GB2312" w:eastAsia="仿宋_GB2312"/>
          <w:sz w:val="32"/>
          <w:szCs w:val="32"/>
        </w:rPr>
        <w:t>非遗活动城乡覆盖率，预期指标是100%，实际完成值是100%，指标完成率是100%，达到预期目标。</w:t>
      </w:r>
    </w:p>
    <w:p>
      <w:pPr>
        <w:spacing w:before="156" w:beforeLines="50" w:line="600" w:lineRule="exact"/>
        <w:ind w:firstLine="660"/>
        <w:rPr>
          <w:rFonts w:ascii="仿宋_GB2312" w:eastAsia="仿宋_GB2312"/>
          <w:sz w:val="32"/>
          <w:szCs w:val="32"/>
        </w:rPr>
      </w:pPr>
      <w:r>
        <w:rPr>
          <w:rFonts w:hint="eastAsia" w:ascii="仿宋_GB2312" w:eastAsia="仿宋_GB2312"/>
          <w:sz w:val="32"/>
          <w:szCs w:val="32"/>
        </w:rPr>
        <w:t>项目产出时效</w:t>
      </w:r>
      <w:r>
        <w:rPr>
          <w:rFonts w:hint="eastAsia" w:ascii="仿宋_GB2312" w:eastAsia="仿宋_GB2312"/>
          <w:sz w:val="32"/>
          <w:szCs w:val="32"/>
          <w:lang w:eastAsia="zh-CN"/>
        </w:rPr>
        <w:t>指标：</w:t>
      </w:r>
      <w:r>
        <w:rPr>
          <w:rFonts w:hint="eastAsia" w:ascii="仿宋_GB2312" w:eastAsia="仿宋_GB2312"/>
          <w:sz w:val="32"/>
          <w:szCs w:val="32"/>
        </w:rPr>
        <w:t>资金下达及时率，预期指标是100%，实际完成值是100%，指标完成率是100%，时效指标完成达到预期目标</w:t>
      </w:r>
    </w:p>
    <w:p>
      <w:pPr>
        <w:ind w:firstLine="640" w:firstLineChars="200"/>
        <w:rPr>
          <w:rFonts w:hint="eastAsia" w:ascii="仿宋_GB2312" w:eastAsia="仿宋_GB2312"/>
          <w:sz w:val="32"/>
          <w:szCs w:val="32"/>
        </w:rPr>
      </w:pPr>
      <w:r>
        <w:rPr>
          <w:rFonts w:hint="eastAsia" w:ascii="仿宋_GB2312" w:eastAsia="仿宋_GB2312"/>
          <w:sz w:val="32"/>
          <w:szCs w:val="32"/>
        </w:rPr>
        <w:t>项目产出成本指标</w:t>
      </w:r>
      <w:r>
        <w:rPr>
          <w:rFonts w:hint="eastAsia" w:ascii="仿宋_GB2312" w:eastAsia="仿宋_GB2312"/>
          <w:sz w:val="32"/>
          <w:szCs w:val="32"/>
          <w:lang w:eastAsia="zh-CN"/>
        </w:rPr>
        <w:t>：非遗活动成本，预期指标值</w:t>
      </w:r>
      <w:r>
        <w:rPr>
          <w:rFonts w:hint="eastAsia" w:ascii="仿宋_GB2312" w:eastAsia="仿宋_GB2312"/>
          <w:sz w:val="32"/>
          <w:szCs w:val="32"/>
          <w:lang w:val="en-US" w:eastAsia="zh-CN"/>
        </w:rPr>
        <w:t>30万元</w:t>
      </w:r>
      <w:r>
        <w:rPr>
          <w:rFonts w:hint="eastAsia" w:ascii="仿宋_GB2312" w:eastAsia="仿宋_GB2312"/>
          <w:sz w:val="32"/>
          <w:szCs w:val="32"/>
        </w:rPr>
        <w:t>实际完成值为8.7038，</w:t>
      </w:r>
      <w:r>
        <w:rPr>
          <w:rFonts w:hint="eastAsia" w:ascii="仿宋_GB2312" w:eastAsia="仿宋_GB2312"/>
          <w:sz w:val="32"/>
          <w:szCs w:val="32"/>
          <w:lang w:eastAsia="zh-CN"/>
        </w:rPr>
        <w:t>指标完成率</w:t>
      </w:r>
      <w:r>
        <w:rPr>
          <w:rFonts w:hint="eastAsia" w:ascii="仿宋_GB2312" w:eastAsia="仿宋_GB2312"/>
          <w:sz w:val="32"/>
          <w:szCs w:val="32"/>
          <w:lang w:val="en-US" w:eastAsia="zh-CN"/>
        </w:rPr>
        <w:t>29%，</w:t>
      </w:r>
      <w:r>
        <w:rPr>
          <w:rFonts w:hint="eastAsia" w:ascii="仿宋_GB2312" w:eastAsia="仿宋_GB2312"/>
          <w:sz w:val="32"/>
          <w:szCs w:val="32"/>
          <w:lang w:eastAsia="zh-CN"/>
        </w:rPr>
        <w:t>未</w:t>
      </w:r>
      <w:r>
        <w:rPr>
          <w:rFonts w:hint="eastAsia" w:ascii="仿宋_GB2312" w:eastAsia="仿宋_GB2312"/>
          <w:sz w:val="32"/>
          <w:szCs w:val="32"/>
        </w:rPr>
        <w:t>达到预期目标</w:t>
      </w:r>
      <w:r>
        <w:rPr>
          <w:rFonts w:hint="eastAsia" w:ascii="仿宋_GB2312" w:eastAsia="仿宋_GB2312"/>
          <w:sz w:val="32"/>
          <w:szCs w:val="32"/>
          <w:lang w:val="en-US" w:eastAsia="zh-CN"/>
        </w:rPr>
        <w:t>,</w:t>
      </w:r>
      <w:r>
        <w:rPr>
          <w:rFonts w:hint="eastAsia" w:ascii="仿宋_GB2312" w:eastAsia="仿宋_GB2312"/>
          <w:sz w:val="32"/>
          <w:szCs w:val="32"/>
        </w:rPr>
        <w:t>节约21.2962万元资金，结转至单位下一年度使用。</w:t>
      </w:r>
    </w:p>
    <w:p>
      <w:pPr>
        <w:pStyle w:val="18"/>
        <w:numPr>
          <w:ilvl w:val="0"/>
          <w:numId w:val="6"/>
        </w:numPr>
        <w:spacing w:before="156"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项目效益情况</w:t>
      </w:r>
    </w:p>
    <w:p>
      <w:pPr>
        <w:ind w:firstLine="900"/>
        <w:rPr>
          <w:rFonts w:hint="eastAsia" w:ascii="仿宋_GB2312" w:hAnsi="仿宋" w:eastAsia="仿宋_GB2312" w:cs="宋体"/>
          <w:bCs/>
          <w:sz w:val="32"/>
          <w:szCs w:val="32"/>
          <w:lang w:val="en-US" w:eastAsia="zh-CN"/>
        </w:rPr>
      </w:pPr>
      <w:r>
        <w:rPr>
          <w:rFonts w:ascii="仿宋_GB2312" w:hAnsi="仿宋" w:eastAsia="仿宋_GB2312" w:cs="宋体"/>
          <w:bCs/>
          <w:sz w:val="32"/>
          <w:szCs w:val="32"/>
        </w:rPr>
        <w:t xml:space="preserve"> </w:t>
      </w:r>
      <w:r>
        <w:rPr>
          <w:rFonts w:hint="eastAsia" w:ascii="仿宋_GB2312" w:hAnsi="仿宋" w:eastAsia="仿宋_GB2312" w:cs="宋体"/>
          <w:bCs/>
          <w:sz w:val="32"/>
          <w:szCs w:val="32"/>
        </w:rPr>
        <w:t>项目实施产生的经济效益</w:t>
      </w:r>
      <w:r>
        <w:rPr>
          <w:rFonts w:hint="eastAsia" w:ascii="仿宋_GB2312" w:hAnsi="仿宋" w:eastAsia="仿宋_GB2312" w:cs="宋体"/>
          <w:bCs/>
          <w:sz w:val="32"/>
          <w:szCs w:val="32"/>
          <w:lang w:eastAsia="zh-CN"/>
        </w:rPr>
        <w:t>：</w:t>
      </w:r>
      <w:r>
        <w:rPr>
          <w:rFonts w:hint="eastAsia" w:ascii="仿宋_GB2312" w:hAnsi="仿宋" w:eastAsia="仿宋_GB2312" w:cs="宋体"/>
          <w:bCs/>
          <w:sz w:val="32"/>
          <w:szCs w:val="32"/>
        </w:rPr>
        <w:t>无</w:t>
      </w:r>
    </w:p>
    <w:p>
      <w:pPr>
        <w:ind w:firstLine="640" w:firstLineChars="200"/>
        <w:rPr>
          <w:rFonts w:hint="eastAsia" w:ascii="仿宋_GB2312" w:hAnsi="仿宋" w:eastAsia="仿宋_GB2312" w:cs="宋体"/>
          <w:bCs/>
          <w:sz w:val="32"/>
          <w:szCs w:val="32"/>
        </w:rPr>
      </w:pPr>
      <w:r>
        <w:rPr>
          <w:rFonts w:hint="eastAsia" w:ascii="仿宋_GB2312" w:hAnsi="仿宋" w:eastAsia="仿宋_GB2312" w:cs="宋体"/>
          <w:bCs/>
          <w:sz w:val="32"/>
          <w:szCs w:val="32"/>
        </w:rPr>
        <w:t>项目实施产生的社会效益</w:t>
      </w:r>
      <w:r>
        <w:rPr>
          <w:rFonts w:hint="eastAsia" w:ascii="仿宋_GB2312" w:eastAsia="仿宋_GB2312"/>
          <w:sz w:val="32"/>
          <w:szCs w:val="32"/>
        </w:rPr>
        <w:t>指标</w:t>
      </w:r>
      <w:r>
        <w:rPr>
          <w:rFonts w:hint="eastAsia" w:ascii="仿宋_GB2312" w:eastAsia="仿宋_GB2312"/>
          <w:sz w:val="32"/>
          <w:szCs w:val="32"/>
          <w:lang w:eastAsia="zh-CN"/>
        </w:rPr>
        <w:t>：</w:t>
      </w:r>
      <w:r>
        <w:rPr>
          <w:rFonts w:hint="eastAsia" w:ascii="仿宋_GB2312" w:eastAsia="仿宋_GB2312"/>
          <w:sz w:val="32"/>
          <w:szCs w:val="32"/>
        </w:rPr>
        <w:t>保障馆内业务能力提什率，预期指标值为</w:t>
      </w:r>
      <w:r>
        <w:rPr>
          <w:rFonts w:hint="eastAsia" w:ascii="仿宋_GB2312" w:eastAsia="仿宋_GB2312"/>
          <w:sz w:val="32"/>
          <w:szCs w:val="32"/>
          <w:lang w:val="en-US" w:eastAsia="zh-CN"/>
        </w:rPr>
        <w:t>90%</w:t>
      </w:r>
      <w:r>
        <w:rPr>
          <w:rFonts w:hint="eastAsia" w:ascii="仿宋_GB2312" w:eastAsia="仿宋_GB2312"/>
          <w:sz w:val="32"/>
          <w:szCs w:val="32"/>
        </w:rPr>
        <w:t>，实际完成值为</w:t>
      </w:r>
      <w:r>
        <w:rPr>
          <w:rFonts w:hint="eastAsia" w:ascii="仿宋_GB2312" w:eastAsia="仿宋_GB2312"/>
          <w:sz w:val="32"/>
          <w:szCs w:val="32"/>
          <w:lang w:val="en-US" w:eastAsia="zh-CN"/>
        </w:rPr>
        <w:t>0%</w:t>
      </w:r>
      <w:r>
        <w:rPr>
          <w:rFonts w:hint="eastAsia" w:ascii="仿宋_GB2312" w:hAnsi="仿宋" w:eastAsia="仿宋_GB2312" w:cs="宋体"/>
          <w:bCs/>
          <w:sz w:val="32"/>
          <w:szCs w:val="32"/>
        </w:rPr>
        <w:t>，未达到预期目标，我单位将在2020年度加快该项目资金的实施进度，将该项目资金实施完成后，对其社会效益进行评估。</w:t>
      </w:r>
    </w:p>
    <w:p>
      <w:pPr>
        <w:spacing w:before="156" w:beforeLines="50" w:line="600" w:lineRule="exact"/>
        <w:ind w:firstLine="640" w:firstLineChars="200"/>
        <w:rPr>
          <w:rFonts w:hint="eastAsia" w:ascii="仿宋_GB2312" w:hAnsi="仿宋" w:eastAsia="仿宋_GB2312" w:cs="宋体"/>
          <w:bCs/>
          <w:sz w:val="32"/>
          <w:szCs w:val="32"/>
          <w:lang w:eastAsia="zh-CN"/>
        </w:rPr>
      </w:pPr>
      <w:r>
        <w:rPr>
          <w:rFonts w:hint="eastAsia" w:ascii="仿宋_GB2312" w:hAnsi="仿宋" w:eastAsia="仿宋_GB2312" w:cs="宋体"/>
          <w:bCs/>
          <w:sz w:val="32"/>
          <w:szCs w:val="32"/>
        </w:rPr>
        <w:t>项目实施产生的生态效益</w:t>
      </w:r>
      <w:r>
        <w:rPr>
          <w:rFonts w:hint="eastAsia" w:ascii="仿宋_GB2312" w:eastAsia="仿宋_GB2312"/>
          <w:sz w:val="32"/>
          <w:szCs w:val="32"/>
        </w:rPr>
        <w:t>指标</w:t>
      </w:r>
      <w:r>
        <w:rPr>
          <w:rFonts w:hint="eastAsia" w:ascii="仿宋_GB2312" w:eastAsia="仿宋_GB2312"/>
          <w:sz w:val="32"/>
          <w:szCs w:val="32"/>
          <w:lang w:eastAsia="zh-CN"/>
        </w:rPr>
        <w:t>：</w:t>
      </w:r>
      <w:r>
        <w:rPr>
          <w:rFonts w:hint="eastAsia" w:ascii="仿宋_GB2312" w:hAnsi="仿宋" w:eastAsia="仿宋_GB2312" w:cs="宋体"/>
          <w:bCs/>
          <w:sz w:val="32"/>
          <w:szCs w:val="32"/>
          <w:lang w:val="en-US" w:eastAsia="zh-CN"/>
        </w:rPr>
        <w:t>无</w:t>
      </w:r>
    </w:p>
    <w:p>
      <w:pPr>
        <w:spacing w:before="156"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项目的可持续效益效益</w:t>
      </w:r>
      <w:r>
        <w:rPr>
          <w:rFonts w:hint="eastAsia" w:ascii="仿宋_GB2312" w:eastAsia="仿宋_GB2312"/>
          <w:sz w:val="32"/>
          <w:szCs w:val="32"/>
        </w:rPr>
        <w:t>指标</w:t>
      </w:r>
      <w:r>
        <w:rPr>
          <w:rFonts w:hint="eastAsia" w:ascii="仿宋_GB2312" w:eastAsia="仿宋_GB2312"/>
          <w:sz w:val="32"/>
          <w:szCs w:val="32"/>
          <w:lang w:eastAsia="zh-CN"/>
        </w:rPr>
        <w:t>：</w:t>
      </w:r>
      <w:r>
        <w:rPr>
          <w:rFonts w:hint="eastAsia" w:ascii="仿宋_GB2312" w:eastAsia="仿宋_GB2312"/>
          <w:sz w:val="32"/>
          <w:szCs w:val="32"/>
        </w:rPr>
        <w:t>保护非遗得到传承，防止流失</w:t>
      </w:r>
      <w:r>
        <w:rPr>
          <w:rFonts w:hint="eastAsia" w:ascii="仿宋_GB2312" w:hAnsi="仿宋" w:eastAsia="仿宋_GB2312" w:cs="宋体"/>
          <w:bCs/>
          <w:sz w:val="32"/>
          <w:szCs w:val="32"/>
        </w:rPr>
        <w:t>，预期指标是长期，实际完成值是长期，指标完成率是100%，达到预期目标。</w:t>
      </w:r>
    </w:p>
    <w:p>
      <w:pPr>
        <w:spacing w:before="156"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经问卷调</w:t>
      </w:r>
      <w:r>
        <w:rPr>
          <w:rFonts w:hint="eastAsia" w:ascii="仿宋_GB2312" w:hAnsi="仿宋" w:eastAsia="仿宋_GB2312" w:cs="宋体"/>
          <w:bCs/>
          <w:color w:val="auto"/>
          <w:sz w:val="32"/>
          <w:szCs w:val="32"/>
        </w:rPr>
        <w:t>查（</w:t>
      </w:r>
      <w:r>
        <w:rPr>
          <w:rFonts w:hint="eastAsia" w:ascii="仿宋_GB2312" w:eastAsia="仿宋_GB2312"/>
          <w:color w:val="auto"/>
          <w:sz w:val="32"/>
          <w:szCs w:val="32"/>
        </w:rPr>
        <w:t>满意度调查会议），</w:t>
      </w:r>
      <w:r>
        <w:rPr>
          <w:rFonts w:hint="eastAsia" w:ascii="仿宋_GB2312" w:hAnsi="仿宋" w:eastAsia="仿宋_GB2312" w:cs="宋体"/>
          <w:bCs/>
          <w:sz w:val="32"/>
          <w:szCs w:val="32"/>
        </w:rPr>
        <w:t>项目收益群众满意度为：</w:t>
      </w:r>
      <w:r>
        <w:rPr>
          <w:rFonts w:hint="eastAsia" w:ascii="仿宋_GB2312" w:hAnsi="仿宋" w:eastAsia="仿宋_GB2312" w:cs="宋体"/>
          <w:bCs/>
          <w:sz w:val="32"/>
          <w:szCs w:val="32"/>
          <w:lang w:val="en-US" w:eastAsia="zh-CN"/>
        </w:rPr>
        <w:t>95%，</w:t>
      </w:r>
      <w:r>
        <w:rPr>
          <w:rFonts w:hint="eastAsia" w:ascii="仿宋_GB2312" w:hAnsi="仿宋" w:eastAsia="仿宋_GB2312" w:cs="宋体"/>
          <w:bCs/>
          <w:sz w:val="32"/>
          <w:szCs w:val="32"/>
        </w:rPr>
        <w:t>达到了预期目标。</w:t>
      </w:r>
    </w:p>
    <w:p>
      <w:pPr>
        <w:pStyle w:val="22"/>
        <w:numPr>
          <w:ilvl w:val="0"/>
          <w:numId w:val="2"/>
        </w:numPr>
        <w:ind w:firstLineChars="0"/>
      </w:pPr>
      <w:r>
        <w:rPr>
          <w:rFonts w:hint="eastAsia" w:ascii="黑体" w:hAnsi="黑体"/>
        </w:rPr>
        <w:t>主要经验及做法、存在的问题及原因分析</w:t>
      </w:r>
    </w:p>
    <w:p>
      <w:pPr>
        <w:pStyle w:val="24"/>
        <w:numPr>
          <w:ilvl w:val="0"/>
          <w:numId w:val="7"/>
        </w:numPr>
        <w:ind w:left="0" w:firstLine="643" w:firstLineChars="200"/>
      </w:pPr>
      <w:r>
        <w:rPr>
          <w:rFonts w:hint="eastAsia"/>
        </w:rPr>
        <w:t>主要经验及做法</w:t>
      </w:r>
    </w:p>
    <w:p>
      <w:pPr>
        <w:spacing w:before="156" w:beforeLines="50" w:line="600" w:lineRule="exact"/>
        <w:ind w:firstLine="640" w:firstLineChars="200"/>
        <w:rPr>
          <w:rFonts w:hint="eastAsia" w:ascii="仿宋_GB2312" w:hAnsi="仿宋" w:eastAsia="仿宋_GB2312" w:cs="宋体"/>
          <w:bCs/>
          <w:sz w:val="32"/>
          <w:szCs w:val="32"/>
        </w:rPr>
      </w:pPr>
      <w:r>
        <w:rPr>
          <w:rFonts w:hint="eastAsia" w:ascii="仿宋_GB2312" w:hAnsi="仿宋" w:eastAsia="仿宋_GB2312" w:cs="宋体"/>
          <w:bCs/>
          <w:sz w:val="32"/>
          <w:szCs w:val="32"/>
        </w:rPr>
        <w:t>本项目实施效果较好的原因主要是管理制度完善、责任落实到位，跟踪考核机制完善且运行有效，在项目实施过程中创新管理办法，采用</w:t>
      </w:r>
      <w:r>
        <w:rPr>
          <w:rFonts w:hint="eastAsia" w:ascii="仿宋_GB2312" w:hAnsi="仿宋" w:eastAsia="仿宋_GB2312" w:cs="宋体"/>
          <w:bCs/>
          <w:sz w:val="32"/>
          <w:szCs w:val="32"/>
          <w:lang w:val="en-US" w:eastAsia="zh-CN"/>
        </w:rPr>
        <w:t>方法：</w:t>
      </w:r>
      <w:r>
        <w:rPr>
          <w:rFonts w:hint="eastAsia" w:ascii="仿宋_GB2312" w:hAnsi="仿宋" w:eastAsia="仿宋_GB2312" w:cs="宋体"/>
          <w:bCs/>
          <w:sz w:val="32"/>
          <w:szCs w:val="32"/>
        </w:rPr>
        <w:t>一是评价小组成员应包含单位领导、项目负责人、财务负责人和行业专家，不同的岗位和职责应用和发挥自身专业和岗位作用；二是在资料收集和档案整理及分析上要全面。其次是评价小组成员要加强绩效基础理论学习，用绩效的理论和知识进行分析评价，客观、公正的分析项目实施情况、资金使用和支付情况、绩效目标的完成情况，对发现的问题要及时总结；再次是要对项目的事前、事中、事后全方位、全过程进行分析、掌握，注重评价过程的记录和档案整理，为下一年度工作提供依据。</w:t>
      </w:r>
    </w:p>
    <w:p>
      <w:pPr>
        <w:pStyle w:val="24"/>
        <w:numPr>
          <w:ilvl w:val="0"/>
          <w:numId w:val="7"/>
        </w:numPr>
        <w:ind w:left="0" w:firstLine="643" w:firstLineChars="200"/>
      </w:pPr>
      <w:r>
        <w:rPr>
          <w:rFonts w:hint="eastAsia"/>
        </w:rPr>
        <w:t>存在的问题及原因分析</w:t>
      </w:r>
    </w:p>
    <w:p>
      <w:pPr>
        <w:rPr>
          <w:rFonts w:hint="eastAsia" w:ascii="仿宋_GB2312" w:hAnsi="仿宋" w:eastAsia="仿宋_GB2312" w:cs="宋体"/>
          <w:bCs/>
          <w:sz w:val="32"/>
          <w:szCs w:val="32"/>
        </w:rPr>
      </w:pPr>
      <w:r>
        <w:rPr>
          <w:rFonts w:hint="eastAsia"/>
          <w:b w:val="0"/>
        </w:rPr>
        <w:t xml:space="preserve"> </w:t>
      </w:r>
      <w:r>
        <w:rPr>
          <w:b w:val="0"/>
        </w:rPr>
        <w:t xml:space="preserve"> </w:t>
      </w:r>
      <w:r>
        <w:rPr>
          <w:rFonts w:hint="eastAsia" w:ascii="仿宋_GB2312" w:hAnsi="仿宋" w:eastAsia="仿宋_GB2312" w:cs="宋体"/>
          <w:bCs/>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pStyle w:val="22"/>
        <w:numPr>
          <w:ilvl w:val="0"/>
          <w:numId w:val="2"/>
        </w:numPr>
        <w:ind w:firstLineChars="0"/>
        <w:rPr>
          <w:rFonts w:ascii="黑体" w:hAnsi="黑体"/>
        </w:rPr>
      </w:pPr>
      <w:r>
        <w:rPr>
          <w:rFonts w:hint="eastAsia" w:ascii="黑体" w:hAnsi="黑体"/>
        </w:rPr>
        <w:t>有关建议</w:t>
      </w:r>
    </w:p>
    <w:p>
      <w:pPr>
        <w:rPr>
          <w:rFonts w:hint="eastAsia" w:ascii="仿宋_GB2312" w:hAnsi="仿宋" w:eastAsia="仿宋_GB2312" w:cs="宋体"/>
          <w:bCs/>
          <w:sz w:val="32"/>
          <w:szCs w:val="32"/>
        </w:rPr>
      </w:pPr>
      <w:r>
        <w:rPr>
          <w:rFonts w:ascii="黑体" w:hAnsi="黑体"/>
          <w:b w:val="0"/>
        </w:rPr>
        <w:t xml:space="preserve"> </w:t>
      </w:r>
      <w:r>
        <w:rPr>
          <w:rFonts w:hint="eastAsia" w:ascii="仿宋_GB2312" w:hAnsi="仿宋" w:eastAsia="仿宋_GB2312" w:cs="宋体"/>
          <w:bCs/>
          <w:sz w:val="32"/>
          <w:szCs w:val="32"/>
        </w:rPr>
        <w:t xml:space="preserve">  1.项目建设的程序进一步规范</w:t>
      </w:r>
    </w:p>
    <w:p>
      <w:pPr>
        <w:rPr>
          <w:rFonts w:hint="eastAsia" w:ascii="仿宋_GB2312" w:hAnsi="仿宋" w:eastAsia="仿宋_GB2312" w:cs="宋体"/>
          <w:bCs/>
          <w:sz w:val="32"/>
          <w:szCs w:val="32"/>
        </w:rPr>
      </w:pPr>
      <w:r>
        <w:rPr>
          <w:rFonts w:hint="eastAsia" w:ascii="仿宋_GB2312" w:hAnsi="仿宋" w:eastAsia="仿宋_GB2312" w:cs="宋体"/>
          <w:bCs/>
          <w:sz w:val="32"/>
          <w:szCs w:val="32"/>
        </w:rPr>
        <w:t xml:space="preserve">    项目前期做好可行性研究报告，更加细化实施方案，严格执行资金管理办法和财政资金管理制度，严格按照项目实施方案、招投标管理办法等稳步推进工作，各部门单位根据自己项目的特点进行总结。</w:t>
      </w:r>
    </w:p>
    <w:p>
      <w:pPr>
        <w:rPr>
          <w:rFonts w:hint="eastAsia" w:ascii="仿宋_GB2312" w:hAnsi="仿宋" w:eastAsia="仿宋_GB2312" w:cs="宋体"/>
          <w:bCs/>
          <w:sz w:val="32"/>
          <w:szCs w:val="32"/>
        </w:rPr>
      </w:pPr>
      <w:r>
        <w:rPr>
          <w:rFonts w:hint="eastAsia" w:ascii="仿宋_GB2312" w:hAnsi="仿宋" w:eastAsia="仿宋_GB2312" w:cs="宋体"/>
          <w:bCs/>
          <w:sz w:val="32"/>
          <w:szCs w:val="32"/>
        </w:rPr>
        <w:t>2.项目评价资料有待进一步完善</w:t>
      </w:r>
    </w:p>
    <w:p>
      <w:pPr>
        <w:ind w:firstLine="640" w:firstLineChars="200"/>
        <w:rPr>
          <w:rFonts w:hint="eastAsia" w:ascii="仿宋_GB2312" w:hAnsi="仿宋" w:eastAsia="仿宋_GB2312" w:cs="宋体"/>
          <w:bCs/>
          <w:sz w:val="32"/>
          <w:szCs w:val="32"/>
        </w:rPr>
      </w:pPr>
      <w:r>
        <w:rPr>
          <w:rFonts w:hint="eastAsia" w:ascii="仿宋_GB2312" w:hAnsi="仿宋" w:eastAsia="仿宋_GB2312" w:cs="宋体"/>
          <w:bCs/>
          <w:sz w:val="32"/>
          <w:szCs w:val="32"/>
        </w:rPr>
        <w:t>项目启动时同步做好档案的归纳与整理，及时整理、收集、汇总，健全档案资料。</w:t>
      </w:r>
    </w:p>
    <w:p>
      <w:pPr>
        <w:rPr>
          <w:rFonts w:hint="eastAsia" w:ascii="仿宋_GB2312" w:hAnsi="仿宋" w:eastAsia="仿宋_GB2312" w:cs="宋体"/>
          <w:bCs/>
          <w:sz w:val="32"/>
          <w:szCs w:val="32"/>
        </w:rPr>
      </w:pPr>
      <w:r>
        <w:rPr>
          <w:rFonts w:hint="eastAsia" w:ascii="仿宋_GB2312" w:hAnsi="仿宋" w:eastAsia="仿宋_GB2312" w:cs="宋体"/>
          <w:bCs/>
          <w:sz w:val="32"/>
          <w:szCs w:val="32"/>
          <w:lang w:val="en-US" w:eastAsia="zh-CN"/>
        </w:rPr>
        <w:t>3.</w:t>
      </w:r>
      <w:r>
        <w:rPr>
          <w:rFonts w:hint="eastAsia" w:ascii="仿宋_GB2312" w:hAnsi="仿宋" w:eastAsia="仿宋_GB2312" w:cs="宋体"/>
          <w:bCs/>
          <w:sz w:val="32"/>
          <w:szCs w:val="32"/>
        </w:rPr>
        <w:t>项目后续管理有待进一步加强</w:t>
      </w:r>
    </w:p>
    <w:p>
      <w:pPr>
        <w:ind w:firstLine="640" w:firstLineChars="200"/>
        <w:rPr>
          <w:rFonts w:hint="eastAsia" w:ascii="仿宋_GB2312" w:hAnsi="仿宋" w:eastAsia="仿宋_GB2312" w:cs="宋体"/>
          <w:bCs/>
          <w:sz w:val="32"/>
          <w:szCs w:val="32"/>
        </w:rPr>
      </w:pPr>
      <w:r>
        <w:rPr>
          <w:rFonts w:hint="eastAsia" w:ascii="仿宋_GB2312" w:hAnsi="仿宋" w:eastAsia="仿宋_GB2312" w:cs="宋体"/>
          <w:bCs/>
          <w:sz w:val="32"/>
          <w:szCs w:val="32"/>
        </w:rPr>
        <w:t>通过绩效管理，发现实施中存在漏洞，如前提准备工作不足，导致该项目在实施过程中进展缓慢。日后将积极加强项目的事前准备工作，保证项目及时的开展。</w:t>
      </w:r>
    </w:p>
    <w:p>
      <w:pPr>
        <w:rPr>
          <w:rFonts w:hint="eastAsia" w:ascii="仿宋_GB2312" w:hAnsi="仿宋" w:eastAsia="仿宋_GB2312" w:cs="宋体"/>
          <w:bCs/>
          <w:sz w:val="32"/>
          <w:szCs w:val="32"/>
        </w:rPr>
      </w:pPr>
      <w:r>
        <w:rPr>
          <w:rFonts w:hint="eastAsia" w:ascii="仿宋_GB2312" w:hAnsi="仿宋" w:eastAsia="仿宋_GB2312" w:cs="宋体"/>
          <w:bCs/>
          <w:sz w:val="32"/>
          <w:szCs w:val="32"/>
        </w:rPr>
        <w:t>4、评价工作应从项目实施方案源头抓起，评价工作和意识应贯穿项目整个过程。</w:t>
      </w:r>
    </w:p>
    <w:p>
      <w:pPr>
        <w:rPr>
          <w:rFonts w:hint="eastAsia" w:ascii="黑体" w:hAnsi="黑体" w:eastAsia="黑体" w:cs="Times New Roman"/>
          <w:b/>
          <w:bCs/>
          <w:kern w:val="44"/>
          <w:sz w:val="32"/>
          <w:szCs w:val="32"/>
          <w:lang w:val="en-US" w:eastAsia="zh-CN" w:bidi="ar-SA"/>
        </w:rPr>
      </w:pPr>
      <w:r>
        <w:rPr>
          <w:rFonts w:hint="eastAsia" w:ascii="黑体" w:hAnsi="黑体" w:eastAsia="黑体" w:cs="Times New Roman"/>
          <w:b/>
          <w:bCs/>
          <w:kern w:val="44"/>
          <w:sz w:val="32"/>
          <w:szCs w:val="32"/>
          <w:lang w:val="en-US" w:eastAsia="zh-CN" w:bidi="ar-SA"/>
        </w:rPr>
        <w:t>七、其他需要说明的问题</w:t>
      </w:r>
    </w:p>
    <w:p>
      <w:pPr>
        <w:rPr>
          <w:rFonts w:hint="eastAsia" w:ascii="仿宋_GB2312" w:hAnsi="仿宋" w:eastAsia="仿宋_GB2312" w:cs="宋体"/>
          <w:bCs/>
          <w:sz w:val="32"/>
          <w:szCs w:val="32"/>
        </w:rPr>
      </w:pPr>
      <w:r>
        <w:rPr>
          <w:rFonts w:hint="eastAsia" w:ascii="仿宋_GB2312" w:hAnsi="仿宋" w:eastAsia="仿宋_GB2312" w:cs="宋体"/>
          <w:bCs/>
          <w:sz w:val="32"/>
          <w:szCs w:val="32"/>
        </w:rPr>
        <w:t>无。</w:t>
      </w:r>
    </w:p>
    <w:p>
      <w:pPr>
        <w:rPr>
          <w:rFonts w:hint="eastAsia" w:ascii="仿宋_GB2312" w:hAnsi="仿宋" w:eastAsia="仿宋_GB2312" w:cs="宋体"/>
          <w:bCs/>
          <w:sz w:val="32"/>
          <w:szCs w:val="32"/>
        </w:rPr>
      </w:pPr>
    </w:p>
    <w:p>
      <w:pPr>
        <w:rPr>
          <w:rFonts w:hint="eastAsia" w:ascii="仿宋_GB2312" w:hAnsi="仿宋" w:eastAsia="仿宋_GB2312" w:cs="宋体"/>
          <w:bCs/>
          <w:sz w:val="32"/>
          <w:szCs w:val="32"/>
        </w:rPr>
      </w:pPr>
    </w:p>
    <w:p>
      <w:pPr>
        <w:ind w:left="1280" w:hanging="1280" w:hangingChars="400"/>
        <w:rPr>
          <w:rFonts w:hint="eastAsia" w:ascii="仿宋_GB2312" w:hAnsi="仿宋" w:eastAsia="仿宋_GB2312" w:cs="宋体"/>
          <w:bCs/>
          <w:sz w:val="32"/>
          <w:szCs w:val="32"/>
        </w:rPr>
      </w:pPr>
      <w:r>
        <w:rPr>
          <w:rFonts w:hint="eastAsia" w:ascii="仿宋_GB2312" w:hAnsi="仿宋" w:eastAsia="仿宋_GB2312" w:cs="宋体"/>
          <w:bCs/>
          <w:sz w:val="32"/>
          <w:szCs w:val="32"/>
        </w:rPr>
        <w:t>附件1：喀什地区喀什地区文化馆非遗专项补助项目支出绩效目标申报表</w:t>
      </w:r>
    </w:p>
    <w:p>
      <w:pPr>
        <w:ind w:left="1280" w:hanging="1280" w:hangingChars="400"/>
        <w:rPr>
          <w:rFonts w:hint="eastAsia" w:ascii="仿宋_GB2312" w:hAnsi="仿宋" w:eastAsia="仿宋_GB2312" w:cs="宋体"/>
          <w:bCs/>
          <w:sz w:val="32"/>
          <w:szCs w:val="32"/>
        </w:rPr>
      </w:pPr>
      <w:r>
        <w:rPr>
          <w:rFonts w:hint="eastAsia" w:ascii="仿宋_GB2312" w:hAnsi="仿宋" w:eastAsia="仿宋_GB2312" w:cs="宋体"/>
          <w:bCs/>
          <w:sz w:val="32"/>
          <w:szCs w:val="32"/>
        </w:rPr>
        <w:t>附件2：喀什地区文化馆非遗专项补助项目支出绩效目标</w:t>
      </w:r>
      <w:bookmarkStart w:id="8" w:name="_GoBack"/>
      <w:bookmarkEnd w:id="8"/>
      <w:r>
        <w:rPr>
          <w:rFonts w:hint="eastAsia" w:ascii="仿宋_GB2312" w:hAnsi="仿宋" w:eastAsia="仿宋_GB2312" w:cs="宋体"/>
          <w:bCs/>
          <w:sz w:val="32"/>
          <w:szCs w:val="32"/>
        </w:rPr>
        <w:t>表</w:t>
      </w:r>
    </w:p>
    <w:p>
      <w:pPr>
        <w:rPr>
          <w:rFonts w:hint="eastAsia" w:ascii="仿宋_GB2312" w:hAnsi="仿宋" w:eastAsia="仿宋_GB2312" w:cs="宋体"/>
          <w:bCs/>
          <w:sz w:val="32"/>
          <w:szCs w:val="32"/>
        </w:rPr>
      </w:pPr>
      <w:r>
        <w:rPr>
          <w:rFonts w:hint="eastAsia" w:ascii="仿宋_GB2312" w:hAnsi="仿宋" w:eastAsia="仿宋_GB2312" w:cs="宋体"/>
          <w:bCs/>
          <w:sz w:val="32"/>
          <w:szCs w:val="32"/>
        </w:rPr>
        <w:t>附件3：喀什地区文化馆非遗专项补助项目支出绩效自评表</w:t>
      </w:r>
    </w:p>
    <w:p>
      <w:pPr>
        <w:ind w:left="960" w:hanging="960" w:hangingChars="300"/>
        <w:rPr>
          <w:rFonts w:hint="eastAsia" w:ascii="仿宋_GB2312" w:hAnsi="仿宋" w:eastAsia="仿宋_GB2312" w:cs="宋体"/>
          <w:bCs/>
          <w:sz w:val="32"/>
          <w:szCs w:val="32"/>
        </w:rPr>
      </w:pPr>
      <w:r>
        <w:rPr>
          <w:rFonts w:hint="eastAsia" w:ascii="仿宋_GB2312" w:hAnsi="仿宋" w:eastAsia="仿宋_GB2312" w:cs="宋体"/>
          <w:bCs/>
          <w:sz w:val="32"/>
          <w:szCs w:val="32"/>
        </w:rPr>
        <w:t>附件4：喀什地区</w:t>
      </w:r>
      <w:r>
        <w:rPr>
          <w:rFonts w:hint="eastAsia" w:ascii="仿宋_GB2312" w:hAnsi="仿宋" w:eastAsia="仿宋_GB2312" w:cs="宋体"/>
          <w:bCs/>
          <w:sz w:val="32"/>
          <w:szCs w:val="32"/>
          <w:lang w:val="en-US" w:eastAsia="zh-CN"/>
        </w:rPr>
        <w:t xml:space="preserve"> </w:t>
      </w:r>
      <w:r>
        <w:rPr>
          <w:rFonts w:hint="eastAsia" w:ascii="仿宋_GB2312" w:hAnsi="仿宋" w:eastAsia="仿宋_GB2312" w:cs="宋体"/>
          <w:bCs/>
          <w:sz w:val="32"/>
          <w:szCs w:val="32"/>
        </w:rPr>
        <w:t>文化馆非遗专项补助项目支出绩效评价指标体系</w:t>
      </w:r>
    </w:p>
    <w:p>
      <w:pPr>
        <w:rPr>
          <w:rFonts w:hint="eastAsia" w:ascii="仿宋_GB2312" w:hAnsi="仿宋" w:eastAsia="仿宋_GB2312" w:cs="宋体"/>
          <w:bCs/>
          <w:sz w:val="32"/>
          <w:szCs w:val="32"/>
        </w:rPr>
      </w:pPr>
      <w:r>
        <w:rPr>
          <w:rFonts w:hint="eastAsia" w:ascii="仿宋_GB2312" w:hAnsi="仿宋" w:eastAsia="仿宋_GB2312" w:cs="宋体"/>
          <w:bCs/>
          <w:sz w:val="32"/>
          <w:szCs w:val="32"/>
        </w:rPr>
        <w:t>附件5：绩效评价依据</w:t>
      </w:r>
    </w:p>
    <w:p>
      <w:pPr>
        <w:ind w:left="1280" w:hanging="1280" w:hangingChars="400"/>
        <w:rPr>
          <w:rFonts w:hint="eastAsia" w:ascii="仿宋_GB2312" w:hAnsi="仿宋" w:eastAsia="仿宋_GB2312" w:cs="宋体"/>
          <w:bCs/>
          <w:sz w:val="32"/>
          <w:szCs w:val="32"/>
        </w:rPr>
      </w:pPr>
      <w:r>
        <w:rPr>
          <w:rFonts w:hint="eastAsia" w:ascii="仿宋_GB2312" w:hAnsi="仿宋" w:eastAsia="仿宋_GB2312" w:cs="宋体"/>
          <w:bCs/>
          <w:sz w:val="32"/>
          <w:szCs w:val="32"/>
        </w:rPr>
        <w:t>附件6：喀什地区文化馆非遗专项补助项目支出绩效评价评分表</w:t>
      </w:r>
    </w:p>
    <w:p>
      <w:pPr>
        <w:rPr>
          <w:rFonts w:hint="eastAsia" w:ascii="仿宋_GB2312" w:hAnsi="仿宋" w:eastAsia="仿宋_GB2312" w:cs="宋体"/>
          <w:bCs/>
          <w:sz w:val="32"/>
          <w:szCs w:val="32"/>
        </w:rPr>
      </w:pPr>
    </w:p>
    <w:sectPr>
      <w:footerReference r:id="rId3" w:type="default"/>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altName w:val="微软雅黑"/>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1">
    <w:nsid w:val="3A7260C0"/>
    <w:multiLevelType w:val="multilevel"/>
    <w:tmpl w:val="3A7260C0"/>
    <w:lvl w:ilvl="0" w:tentative="0">
      <w:start w:val="1"/>
      <w:numFmt w:val="chineseCountingThousand"/>
      <w:pStyle w:val="24"/>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4">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5"/>
  </w:num>
  <w:num w:numId="3">
    <w:abstractNumId w:val="3"/>
  </w:num>
  <w:num w:numId="4">
    <w:abstractNumId w:val="2"/>
  </w:num>
  <w:num w:numId="5">
    <w:abstractNumId w:val="0"/>
  </w:num>
  <w:num w:numId="6">
    <w:abstractNumId w:val="4"/>
  </w:num>
  <w:num w:numId="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0"/>
  <w:drawingGridHorizontalSpacing w:val="210"/>
  <w:drawingGridVerticalSpacing w:val="158"/>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75715"/>
    <w:rsid w:val="00022413"/>
    <w:rsid w:val="00037F93"/>
    <w:rsid w:val="00042126"/>
    <w:rsid w:val="000C0DBF"/>
    <w:rsid w:val="000C7EF1"/>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97A4D"/>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110D8"/>
    <w:rsid w:val="00630E69"/>
    <w:rsid w:val="006362B2"/>
    <w:rsid w:val="0065420A"/>
    <w:rsid w:val="006869EC"/>
    <w:rsid w:val="00694A44"/>
    <w:rsid w:val="006D0AA4"/>
    <w:rsid w:val="006F2513"/>
    <w:rsid w:val="006F64CB"/>
    <w:rsid w:val="007161B2"/>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EF7B48"/>
    <w:rsid w:val="00F0780F"/>
    <w:rsid w:val="00F16D54"/>
    <w:rsid w:val="00F6015C"/>
    <w:rsid w:val="00F75715"/>
    <w:rsid w:val="00FB2E2F"/>
    <w:rsid w:val="00FD300A"/>
    <w:rsid w:val="00FF137F"/>
    <w:rsid w:val="00FF6959"/>
    <w:rsid w:val="00FF6C14"/>
    <w:rsid w:val="01BE6316"/>
    <w:rsid w:val="13735B23"/>
    <w:rsid w:val="15441FE8"/>
    <w:rsid w:val="17FD1DC8"/>
    <w:rsid w:val="19627836"/>
    <w:rsid w:val="20551D5D"/>
    <w:rsid w:val="217F35A7"/>
    <w:rsid w:val="24E73B1F"/>
    <w:rsid w:val="26F03C06"/>
    <w:rsid w:val="2A547683"/>
    <w:rsid w:val="44C7529D"/>
    <w:rsid w:val="45A36FFD"/>
    <w:rsid w:val="49416989"/>
    <w:rsid w:val="57964064"/>
    <w:rsid w:val="5D7F6363"/>
    <w:rsid w:val="60F92BEA"/>
    <w:rsid w:val="62D1698F"/>
    <w:rsid w:val="667765BF"/>
    <w:rsid w:val="67845DE8"/>
    <w:rsid w:val="7775238E"/>
    <w:rsid w:val="7A8638D9"/>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3">
    <w:name w:val="heading 1"/>
    <w:basedOn w:val="1"/>
    <w:next w:val="1"/>
    <w:link w:val="17"/>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4">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link w:val="33"/>
    <w:semiHidden/>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semiHidden/>
    <w:unhideWhenUsed/>
    <w:qFormat/>
    <w:uiPriority w:val="39"/>
    <w:rPr>
      <w:rFonts w:eastAsia="仿宋_GB2312"/>
      <w:sz w:val="28"/>
    </w:rPr>
  </w:style>
  <w:style w:type="paragraph" w:styleId="6">
    <w:name w:val="Balloon Text"/>
    <w:basedOn w:val="1"/>
    <w:link w:val="21"/>
    <w:semiHidden/>
    <w:unhideWhenUsed/>
    <w:qFormat/>
    <w:uiPriority w:val="99"/>
    <w:rPr>
      <w:sz w:val="18"/>
      <w:szCs w:val="18"/>
    </w:rPr>
  </w:style>
  <w:style w:type="paragraph" w:styleId="7">
    <w:name w:val="footer"/>
    <w:basedOn w:val="1"/>
    <w:link w:val="20"/>
    <w:unhideWhenUsed/>
    <w:qFormat/>
    <w:uiPriority w:val="99"/>
    <w:pPr>
      <w:tabs>
        <w:tab w:val="center" w:pos="4153"/>
        <w:tab w:val="right" w:pos="8306"/>
      </w:tabs>
      <w:snapToGrid w:val="0"/>
      <w:jc w:val="left"/>
    </w:pPr>
    <w:rPr>
      <w:sz w:val="18"/>
      <w:szCs w:val="18"/>
    </w:rPr>
  </w:style>
  <w:style w:type="paragraph" w:styleId="8">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rPr>
      <w:rFonts w:eastAsia="仿宋_GB2312"/>
      <w:sz w:val="28"/>
    </w:rPr>
  </w:style>
  <w:style w:type="paragraph" w:styleId="10">
    <w:name w:val="toc 2"/>
    <w:basedOn w:val="1"/>
    <w:next w:val="1"/>
    <w:unhideWhenUsed/>
    <w:qFormat/>
    <w:uiPriority w:val="39"/>
    <w:rPr>
      <w:rFonts w:eastAsia="仿宋_GB2312"/>
      <w:sz w:val="2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qFormat/>
    <w:uiPriority w:val="0"/>
    <w:rPr>
      <w:b/>
      <w:bCs/>
    </w:rPr>
  </w:style>
  <w:style w:type="character" w:styleId="16">
    <w:name w:val="Hyperlink"/>
    <w:basedOn w:val="14"/>
    <w:unhideWhenUsed/>
    <w:qFormat/>
    <w:uiPriority w:val="99"/>
    <w:rPr>
      <w:color w:val="0563C1" w:themeColor="hyperlink"/>
      <w:u w:val="single"/>
    </w:rPr>
  </w:style>
  <w:style w:type="character" w:customStyle="1" w:styleId="17">
    <w:name w:val="标题 1 Char"/>
    <w:basedOn w:val="14"/>
    <w:link w:val="3"/>
    <w:qFormat/>
    <w:uiPriority w:val="9"/>
    <w:rPr>
      <w:rFonts w:ascii="Times New Roman" w:hAnsi="Times New Roman" w:eastAsia="黑体" w:cs="Arial"/>
      <w:b/>
      <w:bCs/>
      <w:kern w:val="44"/>
      <w:sz w:val="28"/>
      <w:szCs w:val="44"/>
    </w:rPr>
  </w:style>
  <w:style w:type="paragraph" w:styleId="18">
    <w:name w:val="List Paragraph"/>
    <w:basedOn w:val="1"/>
    <w:qFormat/>
    <w:uiPriority w:val="34"/>
    <w:pPr>
      <w:ind w:firstLine="420" w:firstLineChars="200"/>
    </w:pPr>
  </w:style>
  <w:style w:type="character" w:customStyle="1" w:styleId="19">
    <w:name w:val="页眉 Char"/>
    <w:basedOn w:val="14"/>
    <w:link w:val="8"/>
    <w:qFormat/>
    <w:uiPriority w:val="99"/>
    <w:rPr>
      <w:sz w:val="18"/>
      <w:szCs w:val="18"/>
    </w:rPr>
  </w:style>
  <w:style w:type="character" w:customStyle="1" w:styleId="20">
    <w:name w:val="页脚 Char"/>
    <w:basedOn w:val="14"/>
    <w:link w:val="7"/>
    <w:qFormat/>
    <w:uiPriority w:val="99"/>
    <w:rPr>
      <w:sz w:val="18"/>
      <w:szCs w:val="18"/>
    </w:rPr>
  </w:style>
  <w:style w:type="character" w:customStyle="1" w:styleId="21">
    <w:name w:val="批注框文本 Char"/>
    <w:basedOn w:val="14"/>
    <w:link w:val="6"/>
    <w:semiHidden/>
    <w:qFormat/>
    <w:uiPriority w:val="99"/>
    <w:rPr>
      <w:sz w:val="18"/>
      <w:szCs w:val="18"/>
    </w:rPr>
  </w:style>
  <w:style w:type="paragraph" w:customStyle="1" w:styleId="22">
    <w:name w:val="标题1"/>
    <w:basedOn w:val="3"/>
    <w:qFormat/>
    <w:uiPriority w:val="0"/>
    <w:pPr>
      <w:spacing w:before="120" w:after="120" w:line="500" w:lineRule="exact"/>
      <w:ind w:firstLine="200" w:firstLineChars="200"/>
    </w:pPr>
    <w:rPr>
      <w:rFonts w:cs="Times New Roman"/>
      <w:sz w:val="32"/>
      <w:szCs w:val="32"/>
    </w:rPr>
  </w:style>
  <w:style w:type="character" w:customStyle="1" w:styleId="23">
    <w:name w:val="标题 2 Char"/>
    <w:basedOn w:val="14"/>
    <w:link w:val="4"/>
    <w:qFormat/>
    <w:uiPriority w:val="9"/>
    <w:rPr>
      <w:rFonts w:asciiTheme="majorHAnsi" w:hAnsiTheme="majorHAnsi" w:eastAsiaTheme="majorEastAsia" w:cstheme="majorBidi"/>
      <w:b/>
      <w:bCs/>
      <w:sz w:val="32"/>
      <w:szCs w:val="32"/>
    </w:rPr>
  </w:style>
  <w:style w:type="paragraph" w:customStyle="1" w:styleId="24">
    <w:name w:val="标题2"/>
    <w:basedOn w:val="4"/>
    <w:qFormat/>
    <w:uiPriority w:val="0"/>
    <w:pPr>
      <w:numPr>
        <w:ilvl w:val="0"/>
        <w:numId w:val="1"/>
      </w:numPr>
      <w:spacing w:before="120" w:after="120" w:line="500" w:lineRule="exact"/>
    </w:pPr>
    <w:rPr>
      <w:rFonts w:ascii="仿宋_GB2312" w:eastAsia="仿宋_GB2312" w:cs="Times New Roman"/>
    </w:rPr>
  </w:style>
  <w:style w:type="paragraph" w:customStyle="1" w:styleId="25">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6">
    <w:name w:val="闻政正文 Char"/>
    <w:link w:val="27"/>
    <w:qFormat/>
    <w:uiPriority w:val="0"/>
    <w:rPr>
      <w:rFonts w:ascii="Times New Roman" w:hAnsi="Times New Roman" w:eastAsia="仿宋_GB2312" w:cs="Times New Roman"/>
      <w:sz w:val="28"/>
      <w:szCs w:val="28"/>
    </w:rPr>
  </w:style>
  <w:style w:type="paragraph" w:customStyle="1" w:styleId="27">
    <w:name w:val="闻政正文"/>
    <w:basedOn w:val="1"/>
    <w:link w:val="26"/>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8">
    <w:name w:val="闻政表 Char"/>
    <w:link w:val="29"/>
    <w:qFormat/>
    <w:uiPriority w:val="0"/>
    <w:rPr>
      <w:rFonts w:ascii="Times New Roman" w:hAnsi="Times New Roman" w:eastAsia="仿宋_GB2312" w:cs="Times New Roman"/>
      <w:b/>
      <w:sz w:val="24"/>
      <w:szCs w:val="28"/>
    </w:rPr>
  </w:style>
  <w:style w:type="paragraph" w:customStyle="1" w:styleId="29">
    <w:name w:val="闻政表"/>
    <w:basedOn w:val="1"/>
    <w:link w:val="28"/>
    <w:qFormat/>
    <w:uiPriority w:val="0"/>
    <w:pPr>
      <w:spacing w:before="60" w:after="60"/>
      <w:jc w:val="center"/>
    </w:pPr>
    <w:rPr>
      <w:rFonts w:ascii="Times New Roman" w:hAnsi="Times New Roman" w:eastAsia="仿宋_GB2312" w:cs="Times New Roman"/>
      <w:b/>
      <w:sz w:val="24"/>
      <w:szCs w:val="28"/>
    </w:rPr>
  </w:style>
  <w:style w:type="paragraph" w:customStyle="1" w:styleId="30">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1">
    <w:name w:val="闻政标题3 Char"/>
    <w:link w:val="32"/>
    <w:qFormat/>
    <w:uiPriority w:val="0"/>
    <w:rPr>
      <w:rFonts w:ascii="黑体" w:hAnsi="黑体" w:eastAsia="黑体" w:cs="Times New Roman"/>
      <w:bCs/>
      <w:sz w:val="32"/>
      <w:szCs w:val="32"/>
    </w:rPr>
  </w:style>
  <w:style w:type="paragraph" w:customStyle="1" w:styleId="32">
    <w:name w:val="闻政标题3"/>
    <w:basedOn w:val="2"/>
    <w:link w:val="31"/>
    <w:qFormat/>
    <w:uiPriority w:val="99"/>
    <w:pPr>
      <w:spacing w:before="120" w:after="60" w:line="500" w:lineRule="exact"/>
      <w:jc w:val="left"/>
      <w:outlineLvl w:val="0"/>
    </w:pPr>
    <w:rPr>
      <w:rFonts w:ascii="黑体" w:hAnsi="黑体" w:eastAsia="黑体" w:cs="Times New Roman"/>
      <w:b w:val="0"/>
    </w:rPr>
  </w:style>
  <w:style w:type="character" w:customStyle="1" w:styleId="33">
    <w:name w:val="标题 3 Char"/>
    <w:basedOn w:val="14"/>
    <w:link w:val="2"/>
    <w:semiHidden/>
    <w:qFormat/>
    <w:uiPriority w:val="9"/>
    <w:rPr>
      <w:b/>
      <w:bCs/>
      <w:sz w:val="32"/>
      <w:szCs w:val="32"/>
    </w:rPr>
  </w:style>
  <w:style w:type="paragraph" w:customStyle="1" w:styleId="34">
    <w:name w:val="Body text|1"/>
    <w:basedOn w:val="1"/>
    <w:link w:val="35"/>
    <w:qFormat/>
    <w:uiPriority w:val="0"/>
    <w:pPr>
      <w:spacing w:after="40" w:line="334" w:lineRule="auto"/>
    </w:pPr>
    <w:rPr>
      <w:rFonts w:ascii="MingLiU" w:hAnsi="MingLiU" w:eastAsia="MingLiU" w:cs="MingLiU"/>
      <w:sz w:val="20"/>
      <w:szCs w:val="20"/>
      <w:lang w:val="zh-TW" w:eastAsia="zh-TW" w:bidi="zh-TW"/>
    </w:rPr>
  </w:style>
  <w:style w:type="character" w:customStyle="1" w:styleId="35">
    <w:name w:val="Body text|1_"/>
    <w:basedOn w:val="14"/>
    <w:link w:val="34"/>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C6353A-55E5-42BB-B87B-5E9B817EB835}">
  <ds:schemaRefs/>
</ds:datastoreItem>
</file>

<file path=docProps/app.xml><?xml version="1.0" encoding="utf-8"?>
<Properties xmlns="http://schemas.openxmlformats.org/officeDocument/2006/extended-properties" xmlns:vt="http://schemas.openxmlformats.org/officeDocument/2006/docPropsVTypes">
  <Template>Normal</Template>
  <Pages>10</Pages>
  <Words>512</Words>
  <Characters>2925</Characters>
  <Lines>24</Lines>
  <Paragraphs>6</Paragraphs>
  <TotalTime>14</TotalTime>
  <ScaleCrop>false</ScaleCrop>
  <LinksUpToDate>false</LinksUpToDate>
  <CharactersWithSpaces>3431</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2020-09-05T04:20:03Z</dcterms:modified>
  <dc:title>新疆普天鹏华商务信息咨询有限公司</dc:title>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