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新疆喀什地区体育局2019年度部门决算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1、贯彻执行国家、自治区有关体育工作的方针、政策、法规，研究拟定相关的政策和发展规划、年度计划并组织实施。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2、负责规划运动项目的布局，研究和指导体育运动队伍的建设；承办和参加全国及自治区的体育运动竞赛；编制体育竞赛计划；指导竞技体育工作，培训体育干部和专业人才。</w:t>
      </w:r>
      <w:r>
        <w:rPr>
          <w:rFonts w:hint="eastAsia" w:ascii="仿宋_GB2312" w:eastAsia="仿宋_GB2312"/>
          <w:sz w:val="32"/>
          <w:szCs w:val="32"/>
        </w:rPr>
        <w:br w:type="textWrapping"/>
      </w:r>
      <w:r>
        <w:rPr>
          <w:rFonts w:hint="eastAsia" w:ascii="仿宋_GB2312" w:eastAsia="仿宋_GB2312"/>
          <w:sz w:val="32"/>
          <w:szCs w:val="32"/>
        </w:rPr>
        <w:t xml:space="preserve">    3、统筹规划地区青少年体育发展，业余训练，指导和推进青少年体育工作。</w:t>
      </w:r>
      <w:r>
        <w:rPr>
          <w:rFonts w:hint="eastAsia" w:ascii="仿宋_GB2312" w:eastAsia="仿宋_GB2312"/>
          <w:sz w:val="32"/>
          <w:szCs w:val="32"/>
        </w:rPr>
        <w:br w:type="textWrapping"/>
      </w:r>
      <w:r>
        <w:rPr>
          <w:rFonts w:hint="eastAsia" w:ascii="仿宋_GB2312" w:eastAsia="仿宋_GB2312"/>
          <w:sz w:val="32"/>
          <w:szCs w:val="32"/>
        </w:rPr>
        <w:t xml:space="preserve">    4、统筹规划地区群众体育发展，负责推行全民健身计划，监督实施国家体育锻炼标准，推动国民体质监测和社会体育指导工作队伍制度建设；指导公共体育设施的建设，负责对公共体育设施的监督管理。</w:t>
      </w:r>
      <w:r>
        <w:rPr>
          <w:rFonts w:hint="eastAsia" w:ascii="仿宋_GB2312" w:eastAsia="仿宋_GB2312"/>
          <w:sz w:val="32"/>
          <w:szCs w:val="32"/>
        </w:rPr>
        <w:br w:type="textWrapping"/>
      </w:r>
      <w:r>
        <w:rPr>
          <w:rFonts w:hint="eastAsia" w:ascii="仿宋_GB2312" w:eastAsia="仿宋_GB2312"/>
          <w:sz w:val="32"/>
          <w:szCs w:val="32"/>
        </w:rPr>
        <w:t xml:space="preserve">    5、指导地区体育系统及民间体育交流活动，协调、指导、管理地区境内承办的国际性、商业性体育比赛和经批准开展的特殊体育经营活动。</w:t>
      </w:r>
      <w:r>
        <w:rPr>
          <w:rFonts w:hint="eastAsia" w:ascii="仿宋_GB2312" w:eastAsia="仿宋_GB2312"/>
          <w:sz w:val="32"/>
          <w:szCs w:val="32"/>
        </w:rPr>
        <w:br w:type="textWrapping"/>
      </w:r>
      <w:r>
        <w:rPr>
          <w:rFonts w:hint="eastAsia" w:ascii="仿宋_GB2312" w:eastAsia="仿宋_GB2312"/>
          <w:sz w:val="32"/>
          <w:szCs w:val="32"/>
        </w:rPr>
        <w:t xml:space="preserve">    6、拟订地区体育产业发展规划、政策，规范体育服务、经营管理，推动体育标准化建设；负责体育彩票发行管理。</w:t>
      </w:r>
      <w:r>
        <w:rPr>
          <w:rFonts w:hint="eastAsia" w:ascii="仿宋_GB2312" w:eastAsia="仿宋_GB2312"/>
          <w:sz w:val="32"/>
          <w:szCs w:val="32"/>
        </w:rPr>
        <w:br w:type="textWrapping"/>
      </w:r>
      <w:r>
        <w:rPr>
          <w:rFonts w:hint="eastAsia" w:ascii="仿宋_GB2312" w:eastAsia="仿宋_GB2312"/>
          <w:sz w:val="32"/>
          <w:szCs w:val="32"/>
        </w:rPr>
        <w:t xml:space="preserve">    7、承办地委、行署及上级机关交办的其他事项。</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新疆喀什地区体育局2</w:t>
      </w:r>
      <w:r>
        <w:rPr>
          <w:rFonts w:ascii="仿宋_GB2312" w:eastAsia="仿宋_GB2312"/>
          <w:sz w:val="32"/>
          <w:szCs w:val="32"/>
        </w:rPr>
        <w:t>019</w:t>
      </w:r>
      <w:r>
        <w:rPr>
          <w:rFonts w:hint="eastAsia" w:ascii="仿宋_GB2312" w:eastAsia="仿宋_GB2312"/>
          <w:sz w:val="32"/>
          <w:szCs w:val="32"/>
        </w:rPr>
        <w:t>年度，实有人数44人，其中：在职人员10人，离休人员0人，退休人员34人。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从部门决算单位构成看，新疆喀什地区体育局部门决算包括：新疆喀什地区体育局决算。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2019年度本年收入544.09万元，与上年相比，减少477.73万元，下降46.75%，主要原因是：</w:t>
      </w:r>
      <w:r>
        <w:rPr>
          <w:rFonts w:hint="eastAsia" w:ascii="仿宋_GB2312" w:eastAsia="仿宋_GB2312"/>
          <w:color w:val="000000" w:themeColor="text1"/>
          <w:sz w:val="32"/>
          <w:szCs w:val="32"/>
          <w14:textFill>
            <w14:solidFill>
              <w14:schemeClr w14:val="tx1"/>
            </w14:solidFill>
          </w14:textFill>
        </w:rPr>
        <w:t>喀什地区体育局为涉改单位，原职能在喀什地文体局，2019年2月体育职能单列，成立喀什地区体育局，与涉改前收入有差异。</w:t>
      </w:r>
      <w:r>
        <w:rPr>
          <w:rFonts w:hint="eastAsia" w:ascii="仿宋_GB2312" w:eastAsia="仿宋_GB2312"/>
          <w:sz w:val="32"/>
          <w:szCs w:val="32"/>
        </w:rPr>
        <w:t>本年支出475.28万元，与上年相比，减少627.46万元，下降56.9%，主要原因是：</w:t>
      </w:r>
      <w:r>
        <w:rPr>
          <w:rFonts w:hint="eastAsia" w:ascii="仿宋_GB2312" w:eastAsia="仿宋_GB2312"/>
          <w:color w:val="000000" w:themeColor="text1"/>
          <w:sz w:val="32"/>
          <w:szCs w:val="32"/>
          <w14:textFill>
            <w14:solidFill>
              <w14:schemeClr w14:val="tx1"/>
            </w14:solidFill>
          </w14:textFill>
        </w:rPr>
        <w:t>喀什地区体育局为涉改单位，原职能在喀什地文体局，2019年2月体育职能单列，成立喀什地区体育局，与涉改前支出有差异。</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年度本年收入544.09万元，其中：财政拨款收入408.22万元，占75.03%；上级补助收入0万元，占0%；事业收入0万元，占0%；经营收入0万元，占0%；附属单位上缴收入0万元，占0%；其他收入135.87万元，占24.97%。</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2019年度本年支出475.28万元，其中：基本支出204.98万元，占43.13%；项目支出270.30万元，占56.87%；上缴上级支出0万元，占0%；经营支出0万元，占0%；对附属单位补助支出0万元，占0%。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408.22万元，与上年相比，减少588.60万元，下降59.05%，主要原因是：喀什地区体育局为涉改单位，原职能在喀什地文体局，2019年2月体育职能单列，成立喀什地区体育局，与涉改前收入有差异。财政拨款支出406.15万元，与上年相比，减少594.20万元，下降59.4%，主要原因是：</w:t>
      </w:r>
      <w:r>
        <w:rPr>
          <w:rFonts w:ascii="仿宋_GB2312" w:eastAsia="仿宋_GB2312"/>
          <w:sz w:val="32"/>
          <w:szCs w:val="32"/>
        </w:rPr>
        <w:t>喀什地区体育局为涉改单位，原职能在喀什地文体局，2019年2月体育职能单列，成立喀什地区体育局，与涉改前支出有差异。</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939.29</w:t>
      </w:r>
      <w:r>
        <w:rPr>
          <w:rFonts w:hint="eastAsia" w:ascii="仿宋_GB2312" w:eastAsia="仿宋_GB2312"/>
          <w:sz w:val="32"/>
          <w:szCs w:val="32"/>
        </w:rPr>
        <w:t>万元，决算数408.22万元</w:t>
      </w:r>
      <w:r>
        <w:rPr>
          <w:rFonts w:ascii="仿宋_GB2312" w:eastAsia="仿宋_GB2312"/>
          <w:color w:val="000000" w:themeColor="text1"/>
          <w:sz w:val="32"/>
          <w:szCs w:val="32"/>
          <w14:textFill>
            <w14:solidFill>
              <w14:schemeClr w14:val="tx1"/>
            </w14:solidFill>
          </w14:textFill>
        </w:rPr>
        <w:t>，预决算差异率-56.54%，主要原因是：2019年青少年年度比赛项目减少，项目收入减少；自治区未举办校园足球决赛项目，无项目资金收入；自治区未举办八大系列群众体育比赛项目，无项目资金收入。</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939.29</w:t>
      </w:r>
      <w:r>
        <w:rPr>
          <w:rFonts w:hint="eastAsia" w:ascii="仿宋_GB2312" w:eastAsia="仿宋_GB2312"/>
          <w:sz w:val="32"/>
          <w:szCs w:val="32"/>
        </w:rPr>
        <w:t>万元，决算数406.15万元</w:t>
      </w:r>
      <w:r>
        <w:rPr>
          <w:rFonts w:ascii="仿宋_GB2312" w:eastAsia="仿宋_GB2312"/>
          <w:color w:val="000000" w:themeColor="text1"/>
          <w:sz w:val="32"/>
          <w:szCs w:val="32"/>
          <w14:textFill>
            <w14:solidFill>
              <w14:schemeClr w14:val="tx1"/>
            </w14:solidFill>
          </w14:textFill>
        </w:rPr>
        <w:t>，预决算差异率-56.76%，主要原因是：2019年青少年年度比赛项目减少，项目支出减少；自治区未举办校园足球决赛项目，该项目资金未支出；自治区未举办八大系列群众体育比赛项目，该项目资金未支出。</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年度一般公共预算财政拨款支出224.98万元。按功能分类科目项级科目公开，其中：</w:t>
      </w:r>
    </w:p>
    <w:p>
      <w:pPr>
        <w:rPr>
          <w:rFonts w:ascii="仿宋_GB2312" w:eastAsia="仿宋_GB2312"/>
          <w:sz w:val="32"/>
          <w:szCs w:val="32"/>
        </w:rPr>
      </w:pPr>
      <w:r>
        <w:rPr>
          <w:rFonts w:ascii="仿宋_GB2312" w:eastAsia="仿宋_GB2312"/>
          <w:sz w:val="32"/>
          <w:szCs w:val="32"/>
        </w:rPr>
        <w:t xml:space="preserve">   2070301行政运行支出133万元；</w:t>
      </w:r>
      <w:r>
        <w:rPr>
          <w:rFonts w:ascii="仿宋_GB2312" w:eastAsia="仿宋_GB2312"/>
          <w:sz w:val="32"/>
          <w:szCs w:val="32"/>
        </w:rPr>
        <w:br w:type="textWrapping"/>
      </w:r>
      <w:r>
        <w:rPr>
          <w:rFonts w:ascii="仿宋_GB2312" w:eastAsia="仿宋_GB2312"/>
          <w:sz w:val="32"/>
          <w:szCs w:val="32"/>
        </w:rPr>
        <w:t xml:space="preserve">   2070399其他体育支出57.44万元；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2080505机关事业单位基本养老保险缴费支出7.98万元；</w:t>
      </w:r>
      <w:r>
        <w:rPr>
          <w:rFonts w:ascii="仿宋_GB2312" w:eastAsia="仿宋_GB2312"/>
          <w:sz w:val="32"/>
          <w:szCs w:val="32"/>
        </w:rPr>
        <w:br w:type="textWrapping"/>
      </w:r>
      <w:r>
        <w:rPr>
          <w:rFonts w:ascii="仿宋_GB2312" w:eastAsia="仿宋_GB2312"/>
          <w:sz w:val="32"/>
          <w:szCs w:val="32"/>
        </w:rPr>
        <w:t xml:space="preserve">   2210201住房公积金支出6.57万元；</w:t>
      </w:r>
      <w:r>
        <w:rPr>
          <w:rFonts w:ascii="仿宋_GB2312" w:eastAsia="仿宋_GB2312"/>
          <w:sz w:val="32"/>
          <w:szCs w:val="32"/>
        </w:rPr>
        <w:br w:type="textWrapping"/>
      </w:r>
      <w:r>
        <w:rPr>
          <w:rFonts w:ascii="仿宋_GB2312" w:eastAsia="仿宋_GB2312"/>
          <w:sz w:val="32"/>
          <w:szCs w:val="32"/>
        </w:rPr>
        <w:t xml:space="preserve">   2299901其他支出20万元。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年度一般公共预算财政拨款基本支出204.98万元，其中：</w:t>
      </w:r>
    </w:p>
    <w:p>
      <w:pPr>
        <w:ind w:firstLine="640" w:firstLineChars="200"/>
        <w:rPr>
          <w:rFonts w:ascii="仿宋_GB2312" w:eastAsia="仿宋_GB2312"/>
          <w:sz w:val="32"/>
          <w:szCs w:val="32"/>
        </w:rPr>
      </w:pPr>
      <w:r>
        <w:rPr>
          <w:rFonts w:hint="eastAsia" w:ascii="仿宋_GB2312" w:eastAsia="仿宋_GB2312"/>
          <w:sz w:val="32"/>
          <w:szCs w:val="32"/>
        </w:rPr>
        <w:t>人员经费194.49万元，包括：基本工资、津贴补贴、奖金、机关事业单位基本养老保险缴费、职工基本医疗保险缴费、公务员医疗补助缴费、其他社会保障缴费、住房公积金、退休费、抚恤金、奖励金。</w:t>
      </w:r>
    </w:p>
    <w:p>
      <w:pPr>
        <w:ind w:firstLine="640" w:firstLineChars="200"/>
        <w:rPr>
          <w:rFonts w:ascii="仿宋_GB2312" w:eastAsia="仿宋_GB2312"/>
          <w:sz w:val="32"/>
          <w:szCs w:val="32"/>
        </w:rPr>
      </w:pPr>
      <w:r>
        <w:rPr>
          <w:rFonts w:hint="eastAsia" w:ascii="仿宋_GB2312" w:eastAsia="仿宋_GB2312"/>
          <w:sz w:val="32"/>
          <w:szCs w:val="32"/>
        </w:rPr>
        <w:t>公用经费10.49万元，包括：办公费、邮电费、差旅费、公务用车运行维护费、其他商品和服务支出</w:t>
      </w:r>
      <w:r>
        <w:rPr>
          <w:rFonts w:hint="eastAsia" w:ascii="仿宋_GB2312" w:eastAsia="仿宋_GB2312"/>
          <w:sz w:val="32"/>
          <w:szCs w:val="32"/>
          <w:lang w:eastAsia="zh-CN"/>
        </w:rPr>
        <w:t>、办公设备购置</w:t>
      </w:r>
      <w:r>
        <w:rPr>
          <w:rFonts w:hint="eastAsia" w:ascii="仿宋_GB2312" w:eastAsia="仿宋_GB2312"/>
          <w:sz w:val="32"/>
          <w:szCs w:val="32"/>
        </w:rPr>
        <w:t>。</w:t>
      </w:r>
      <w:bookmarkStart w:id="54" w:name="_GoBack"/>
      <w:bookmarkEnd w:id="54"/>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5.47万元，比上年减少2.93万元，降低34.88%，主要原因是喀什地区体育局为涉改单位，原职能在喀什地文体局，2019年2月体育职能单列，成立喀什地区体育局，与涉改前支出有差异。其中，因公出国（境）费支出0万元，占0%，比上年增加0万元，增长0%，主要原因是</w:t>
      </w:r>
      <w:r>
        <w:rPr>
          <w:rFonts w:hint="eastAsia" w:ascii="仿宋_GB2312" w:eastAsia="仿宋_GB2312"/>
          <w:sz w:val="32"/>
          <w:szCs w:val="32"/>
          <w:lang w:eastAsia="zh-CN"/>
        </w:rPr>
        <w:t>与上年相比无变化，与上年一致</w:t>
      </w:r>
      <w:r>
        <w:rPr>
          <w:rFonts w:hint="eastAsia" w:ascii="仿宋_GB2312" w:eastAsia="仿宋_GB2312"/>
          <w:sz w:val="32"/>
          <w:szCs w:val="32"/>
        </w:rPr>
        <w:t>；公务用车购置及运行维护费支出5.47万元，占100%，比上年减少2.93万元，降低34.88%，主要原因是喀什地区体育局为涉改单位，原职能在喀什地文体局，2019年2月体育职能单列，成立喀什地区体育局，与涉改前支出有差异；公务接待费支出0万元，占0%，比上年增加0万元，增长0%，主要原因是</w:t>
      </w:r>
      <w:r>
        <w:rPr>
          <w:rFonts w:hint="eastAsia" w:ascii="仿宋_GB2312" w:eastAsia="仿宋_GB2312"/>
          <w:sz w:val="32"/>
          <w:szCs w:val="32"/>
          <w:lang w:eastAsia="zh-CN"/>
        </w:rPr>
        <w:t>与上年相比无变化，与上年一致</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5.47万元，其中，公务用车购置费0万元，公务用车运行维护费5.47万元。公务用车运行维护费开支内容包括车辆燃油费、维护费、过路费、保险费、年审费。公务用车购置数0辆，公务用车保有量3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6.30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5.47</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-13.17%，主要原因是：喀什地区体育局为涉改单位，原职能在喀什地文体局，2019年2月体育职能单列，成立喀什地区体育局，公务用车运行费预算6.3万元为原地区文体局年初预算，支出5.47万元为体育局单列后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，预决算差异率0%，主要原因是：预算无安排，无此项支出；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6.30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5.47</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-13.17%，主要原因是：喀什地区体育局为涉改单位，原职能在喀什地文体局，2019年2月体育职能单列，成立喀什地区体育局，公务用车运行费预算6.3万元为原地区文体局年初预算，支出5.47万元为体育局单列后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，预决算差异率0%，主要原因是：预算无安排，无此项支出。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2019年度政府性基金预算财政拨款收入183.24万元，与上年相比，减少49.73万元，下降21.35%，主要原因是：喀什地区体育局为涉改单位，原职能在喀什地文体局，2019年2月体育职能单列，成立喀什地区体育局，与涉改前收入有差异。政府性基金预算支出181.18万元，与上年相比，减少52.56万元，下降22.49%，主要原因是：喀什地区体育局为涉改单位，原职能在喀什地文体局，2019年2月体育职能单列，成立喀什地区体育局，与涉改前支出有差异。</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2019年度新疆喀什地区体育局机关运行经费支出10.49万元，比上年减少13.41万元，降低56.11%，主要原因是喀什地区体育局为涉改单位，原职能在喀什地文体局，2019年2月体育职能单列，成立喀什地区体育局，与涉改前支出有差异。</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年度政府采购支出总额16.87万元，其中：政府采购货物支出11.40万元、政府采购工程支出0万元、政府采购服务支出5.47万元。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授予中小企业合同金额11.40万元，占政府采购支出总额的67.58%，其中：授予小微企业合同金额11.40万元，占政府采购支出总额的67.58%。</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年12月31日，单位共有房屋0（平方米），价值0万元。车辆3辆，价值56.64万元，其中：副部（省）级及以上领导用车0辆、主要领导干部用车</w:t>
      </w:r>
      <w:r>
        <w:rPr>
          <w:rFonts w:ascii="仿宋_GB2312" w:eastAsia="仿宋_GB2312"/>
          <w:color w:val="000000" w:themeColor="text1"/>
          <w:sz w:val="32"/>
          <w:szCs w:val="32"/>
          <w14:textFill>
            <w14:solidFill>
              <w14:schemeClr w14:val="tx1"/>
            </w14:solidFill>
          </w14:textFill>
        </w:rPr>
        <w:t>3</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无其他车辆；</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8个，共涉及资金201.18万元。预算绩效管理取得的成效：一是经济性评价：部门年度任务是在预算资金额度内完成，并通过规范的招投标及严格的资金管理及项目管理及其他创新的管理措施实现了资金的节约。三公经费是在预算范围内开支，因体育局为新成立单位，无上年对比数。二是效率性评价：各项工作计划是按预期计划按时完成，效益是按预期时间产生。三是效益性评价：预期的经济效益、社会效益、可持续的影响产生，相关人员的满意度达到预期目标。发现的问题及原因：在项目管理指标制定及预算编制、财务管理、项目运行等方面存在一定问题，有待进一步加强。下一步改进措施：一是针对本项目实施过程中的多变性，制定相应的实施计划，根据实施计划建立相应的管理制度，从而细化完善绩效设定目标，并真正将绩效目标应用于项目实施中。二是资金使用过程中加强部门统筹规划，指导部门预算的编制，通过历史数据的收集、未来发展规划及自身实力的充分估计提高预算准确性在资执行过程中对报账方式和方法进行明确，加强经费报账的管理，避免资金流失及混乱，提高资金管理水平和资金的使用效率、效益。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ZRO3XQlrm9LCuCMkms9+alx1rxE=" w:salt="TqMoQt+/xy2031fG28V8L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1A76E1C"/>
    <w:rsid w:val="06792773"/>
    <w:rsid w:val="1DAF458D"/>
    <w:rsid w:val="2A053397"/>
    <w:rsid w:val="2D1136DF"/>
    <w:rsid w:val="31C63837"/>
    <w:rsid w:val="39811956"/>
    <w:rsid w:val="399E02F0"/>
    <w:rsid w:val="3D5275AC"/>
    <w:rsid w:val="46901EEE"/>
    <w:rsid w:val="469C74D2"/>
    <w:rsid w:val="50DB5F45"/>
    <w:rsid w:val="69AD798C"/>
    <w:rsid w:val="6B68175F"/>
    <w:rsid w:val="730322A4"/>
    <w:rsid w:val="73FB6630"/>
    <w:rsid w:val="77ED6F44"/>
    <w:rsid w:val="7C084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5</TotalTime>
  <ScaleCrop>false</ScaleCrop>
  <LinksUpToDate>false</LinksUpToDate>
  <CharactersWithSpaces>6915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2021-07-11T07:40:25Z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