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before="120" w:beforeLines="50"/>
        <w:jc w:val="center"/>
        <w:rPr>
          <w:rFonts w:ascii="方正小标宋简体" w:eastAsia="方正小标宋简体"/>
          <w:sz w:val="44"/>
          <w:szCs w:val="44"/>
        </w:rPr>
      </w:pPr>
    </w:p>
    <w:p>
      <w:pPr>
        <w:spacing w:before="120" w:beforeLines="50"/>
        <w:jc w:val="center"/>
        <w:rPr>
          <w:rFonts w:ascii="方正小标宋简体" w:eastAsia="方正小标宋简体"/>
          <w:sz w:val="44"/>
          <w:szCs w:val="44"/>
        </w:rPr>
      </w:pPr>
    </w:p>
    <w:p>
      <w:pPr>
        <w:spacing w:before="120" w:beforeLines="50"/>
        <w:jc w:val="center"/>
        <w:rPr>
          <w:rFonts w:hint="eastAsia" w:ascii="方正小标宋简体" w:eastAsia="方正小标宋简体"/>
          <w:sz w:val="44"/>
          <w:szCs w:val="44"/>
        </w:rPr>
      </w:pPr>
      <w:r>
        <w:rPr>
          <w:rFonts w:hint="eastAsia" w:ascii="方正小标宋简体" w:eastAsia="方正小标宋简体"/>
          <w:sz w:val="44"/>
          <w:szCs w:val="44"/>
          <w:lang w:eastAsia="zh-CN"/>
        </w:rPr>
        <w:t>喀什地区地震局地震台站运行项目</w:t>
      </w:r>
      <w:r>
        <w:rPr>
          <w:rFonts w:hint="eastAsia" w:ascii="方正小标宋简体" w:eastAsia="方正小标宋简体"/>
          <w:sz w:val="44"/>
          <w:szCs w:val="44"/>
        </w:rPr>
        <w:t>支出</w:t>
      </w:r>
    </w:p>
    <w:p>
      <w:pPr>
        <w:spacing w:before="120" w:beforeLines="50"/>
        <w:jc w:val="center"/>
        <w:rPr>
          <w:rFonts w:ascii="方正小标宋简体" w:eastAsia="方正小标宋简体"/>
          <w:sz w:val="44"/>
          <w:szCs w:val="44"/>
        </w:rPr>
      </w:pPr>
      <w:r>
        <w:rPr>
          <w:rFonts w:hint="eastAsia" w:ascii="方正小标宋简体" w:eastAsia="方正小标宋简体"/>
          <w:sz w:val="44"/>
          <w:szCs w:val="44"/>
        </w:rPr>
        <w:t>绩效评价报告</w:t>
      </w: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spacing w:before="120" w:beforeLines="50"/>
        <w:jc w:val="center"/>
        <w:rPr>
          <w:rFonts w:ascii="方正小标宋简体" w:eastAsia="方正小标宋简体"/>
          <w:sz w:val="52"/>
          <w:szCs w:val="52"/>
        </w:rPr>
      </w:pP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项目名称：</w:t>
      </w:r>
      <w:r>
        <w:rPr>
          <w:rFonts w:hint="eastAsia" w:ascii="仿宋_GB2312" w:hAnsi="仿宋" w:eastAsia="仿宋_GB2312" w:cs="Times New Roman"/>
          <w:spacing w:val="-2"/>
          <w:sz w:val="36"/>
          <w:szCs w:val="36"/>
          <w:lang w:eastAsia="zh-CN"/>
        </w:rPr>
        <w:t>地震台站运行项目</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实施单位：</w:t>
      </w:r>
      <w:r>
        <w:rPr>
          <w:rFonts w:hint="eastAsia" w:ascii="仿宋_GB2312" w:hAnsi="仿宋" w:eastAsia="仿宋_GB2312" w:cs="Times New Roman"/>
          <w:spacing w:val="-2"/>
          <w:sz w:val="36"/>
          <w:szCs w:val="36"/>
          <w:lang w:eastAsia="zh-CN"/>
        </w:rPr>
        <w:t>喀什地区地震局</w:t>
      </w:r>
    </w:p>
    <w:p>
      <w:pPr>
        <w:autoSpaceDE w:val="0"/>
        <w:autoSpaceDN w:val="0"/>
        <w:spacing w:line="540" w:lineRule="exact"/>
        <w:ind w:firstLine="712" w:firstLineChars="200"/>
        <w:rPr>
          <w:rFonts w:hint="eastAsia" w:ascii="仿宋_GB2312" w:hAnsi="仿宋" w:eastAsia="仿宋_GB2312" w:cs="Times New Roman"/>
          <w:spacing w:val="-2"/>
          <w:sz w:val="36"/>
          <w:szCs w:val="36"/>
          <w:lang w:eastAsia="zh-CN"/>
        </w:rPr>
      </w:pPr>
      <w:r>
        <w:rPr>
          <w:rFonts w:hint="eastAsia" w:ascii="仿宋_GB2312" w:hAnsi="仿宋" w:eastAsia="仿宋_GB2312" w:cs="Times New Roman"/>
          <w:spacing w:val="-2"/>
          <w:sz w:val="36"/>
          <w:szCs w:val="36"/>
        </w:rPr>
        <w:t>评价部门：</w:t>
      </w:r>
      <w:r>
        <w:rPr>
          <w:rFonts w:hint="eastAsia" w:ascii="仿宋_GB2312" w:hAnsi="仿宋" w:eastAsia="仿宋_GB2312" w:cs="Times New Roman"/>
          <w:spacing w:val="-2"/>
          <w:sz w:val="36"/>
          <w:szCs w:val="36"/>
          <w:lang w:eastAsia="zh-CN"/>
        </w:rPr>
        <w:t>喀什地区地震局</w:t>
      </w: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712" w:firstLineChars="200"/>
        <w:rPr>
          <w:rFonts w:ascii="仿宋_GB2312" w:hAnsi="仿宋" w:eastAsia="仿宋_GB2312" w:cs="Times New Roman"/>
          <w:spacing w:val="-2"/>
          <w:sz w:val="36"/>
          <w:szCs w:val="36"/>
        </w:rPr>
      </w:pPr>
    </w:p>
    <w:p>
      <w:pPr>
        <w:autoSpaceDE w:val="0"/>
        <w:autoSpaceDN w:val="0"/>
        <w:spacing w:line="540" w:lineRule="exact"/>
        <w:ind w:firstLine="2136" w:firstLineChars="600"/>
        <w:rPr>
          <w:rFonts w:ascii="仿宋_GB2312" w:hAnsi="仿宋" w:eastAsia="仿宋_GB2312" w:cs="Times New Roman"/>
          <w:spacing w:val="-2"/>
          <w:sz w:val="36"/>
          <w:szCs w:val="36"/>
        </w:rPr>
      </w:pPr>
    </w:p>
    <w:p>
      <w:pPr>
        <w:autoSpaceDE w:val="0"/>
        <w:autoSpaceDN w:val="0"/>
        <w:spacing w:line="540" w:lineRule="exact"/>
        <w:ind w:firstLine="2848" w:firstLineChars="800"/>
        <w:rPr>
          <w:rFonts w:ascii="仿宋_GB2312" w:hAnsi="仿宋" w:eastAsia="仿宋_GB2312" w:cs="Times New Roman"/>
          <w:spacing w:val="-2"/>
          <w:sz w:val="36"/>
          <w:szCs w:val="36"/>
        </w:rPr>
      </w:pPr>
      <w:r>
        <w:rPr>
          <w:rFonts w:hint="eastAsia" w:ascii="仿宋_GB2312" w:hAnsi="仿宋" w:eastAsia="仿宋_GB2312" w:cs="Times New Roman"/>
          <w:spacing w:val="-2"/>
          <w:sz w:val="36"/>
          <w:szCs w:val="36"/>
        </w:rPr>
        <w:t>二零二零年四月</w:t>
      </w:r>
    </w:p>
    <w:p>
      <w:pPr>
        <w:spacing w:before="120" w:beforeLines="50" w:line="0" w:lineRule="atLeast"/>
        <w:jc w:val="left"/>
        <w:rPr>
          <w:sz w:val="28"/>
          <w:szCs w:val="28"/>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spacing w:before="120" w:beforeLines="50" w:after="120" w:afterLines="50" w:line="600" w:lineRule="exact"/>
        <w:jc w:val="center"/>
        <w:rPr>
          <w:rFonts w:ascii="方正小标宋简体" w:hAnsi="仿宋_GB2312" w:eastAsia="方正小标宋简体" w:cs="仿宋_GB2312"/>
          <w:color w:val="FF0000"/>
          <w:kern w:val="0"/>
          <w:sz w:val="44"/>
          <w:szCs w:val="44"/>
          <w:shd w:val="clear" w:color="auto" w:fill="FFFFFF"/>
          <w:lang w:bidi="ar"/>
        </w:rPr>
      </w:pPr>
    </w:p>
    <w:p>
      <w:pPr>
        <w:pStyle w:val="21"/>
        <w:numPr>
          <w:ilvl w:val="0"/>
          <w:numId w:val="2"/>
        </w:numPr>
        <w:ind w:firstLineChars="0"/>
        <w:rPr>
          <w:lang w:bidi="ar"/>
        </w:rPr>
      </w:pPr>
      <w:r>
        <w:rPr>
          <w:rFonts w:hint="eastAsia"/>
          <w:lang w:bidi="ar"/>
        </w:rPr>
        <w:t>基本情况</w:t>
      </w:r>
    </w:p>
    <w:p>
      <w:pPr>
        <w:pStyle w:val="23"/>
        <w:ind w:left="0" w:firstLine="643" w:firstLineChars="200"/>
        <w:rPr>
          <w:lang w:bidi="ar"/>
        </w:rPr>
      </w:pPr>
      <w:bookmarkStart w:id="0" w:name="_Toc26401549"/>
      <w:r>
        <w:rPr>
          <w:rFonts w:hint="eastAsia"/>
          <w:lang w:bidi="ar"/>
        </w:rPr>
        <w:t>项目概况</w:t>
      </w:r>
      <w:bookmarkEnd w:id="0"/>
    </w:p>
    <w:p>
      <w:pPr>
        <w:pStyle w:val="17"/>
        <w:numPr>
          <w:ilvl w:val="0"/>
          <w:numId w:val="3"/>
        </w:numPr>
        <w:spacing w:before="120"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项目背景及立项依据</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本项目依据</w:t>
      </w:r>
      <w:r>
        <w:rPr>
          <w:rFonts w:hint="eastAsia" w:ascii="仿宋_GB2312" w:hAnsi="仿宋" w:eastAsia="仿宋_GB2312" w:cs="宋体"/>
          <w:sz w:val="32"/>
          <w:szCs w:val="32"/>
          <w:lang w:val="en-US" w:eastAsia="zh-CN" w:bidi="ar"/>
        </w:rPr>
        <w:t>地区下发《关于印发&lt;喀什地区地震局职能配置、内设机构和人员编制规定&gt;的通知》（喀署办发〔2002〕95号）三定方案和</w:t>
      </w:r>
      <w:r>
        <w:rPr>
          <w:rFonts w:hint="eastAsia" w:ascii="仿宋_GB2312" w:hAnsi="仿宋" w:eastAsia="仿宋_GB2312" w:cs="宋体"/>
          <w:sz w:val="32"/>
          <w:szCs w:val="32"/>
          <w:lang w:bidi="ar"/>
        </w:rPr>
        <w:t>《地震监测管理条例》</w:t>
      </w:r>
      <w:r>
        <w:rPr>
          <w:rFonts w:hint="eastAsia" w:ascii="仿宋_GB2312" w:hAnsi="仿宋" w:eastAsia="仿宋_GB2312" w:cs="宋体"/>
          <w:sz w:val="32"/>
          <w:szCs w:val="32"/>
          <w:lang w:eastAsia="zh-CN" w:bidi="ar"/>
        </w:rPr>
        <w:t>的相关规定，承担维护我区地震监测台网运维相关职责</w:t>
      </w:r>
      <w:r>
        <w:rPr>
          <w:rFonts w:hint="eastAsia" w:ascii="仿宋_GB2312" w:hAnsi="仿宋" w:eastAsia="仿宋_GB2312" w:cs="宋体"/>
          <w:sz w:val="32"/>
          <w:szCs w:val="32"/>
          <w:lang w:bidi="ar"/>
        </w:rPr>
        <w:t>。</w:t>
      </w:r>
    </w:p>
    <w:p>
      <w:pPr>
        <w:pStyle w:val="17"/>
        <w:numPr>
          <w:ilvl w:val="0"/>
          <w:numId w:val="3"/>
        </w:numPr>
        <w:spacing w:before="120" w:beforeLines="50" w:line="600" w:lineRule="exact"/>
        <w:ind w:firstLineChars="0"/>
        <w:rPr>
          <w:rFonts w:ascii="仿宋_GB2312" w:hAnsi="仿宋" w:eastAsia="仿宋_GB2312" w:cs="宋体"/>
          <w:sz w:val="32"/>
          <w:szCs w:val="32"/>
          <w:lang w:bidi="ar"/>
        </w:rPr>
      </w:pPr>
      <w:r>
        <w:rPr>
          <w:rFonts w:hint="eastAsia" w:ascii="仿宋_GB2312" w:hAnsi="仿宋" w:eastAsia="仿宋_GB2312" w:cs="宋体"/>
          <w:sz w:val="32"/>
          <w:szCs w:val="32"/>
          <w:lang w:bidi="ar"/>
        </w:rPr>
        <w:t>项目主要内容及实施情况</w:t>
      </w:r>
    </w:p>
    <w:p>
      <w:pPr>
        <w:spacing w:before="120" w:beforeLines="50" w:line="600" w:lineRule="exact"/>
        <w:ind w:firstLine="645"/>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主要内容：2019年喀什地区地震监测工作，实时监测震情，为震情会商和地震速报提供数据。</w:t>
      </w:r>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项目实施前</w:t>
      </w:r>
      <w:r>
        <w:rPr>
          <w:rFonts w:hint="eastAsia" w:ascii="仿宋" w:hAnsi="仿宋" w:eastAsia="仿宋" w:cs="仿宋"/>
          <w:sz w:val="32"/>
          <w:szCs w:val="32"/>
        </w:rPr>
        <w:t>按照项目立项、预算管理、项目实施的分析路径，结合国家、自治区法律法规等</w:t>
      </w:r>
      <w:r>
        <w:rPr>
          <w:rFonts w:hint="eastAsia" w:ascii="仿宋_GB2312" w:hAnsi="仿宋" w:eastAsia="仿宋_GB2312" w:cs="宋体"/>
          <w:sz w:val="32"/>
          <w:szCs w:val="32"/>
          <w:lang w:bidi="ar"/>
        </w:rPr>
        <w:t>进行充分调研，制定实施方案，项目实施过程中严格按照实施方案进行实施并及时进行监督管理，项目实施后</w:t>
      </w:r>
      <w:r>
        <w:rPr>
          <w:rFonts w:hint="eastAsia" w:ascii="仿宋" w:hAnsi="仿宋" w:eastAsia="仿宋" w:cs="仿宋"/>
          <w:sz w:val="32"/>
          <w:szCs w:val="32"/>
        </w:rPr>
        <w:t>成立专门的评估小组，收集整理相关资料，了解项目的实施运行情况。</w:t>
      </w:r>
    </w:p>
    <w:p>
      <w:pPr>
        <w:pStyle w:val="23"/>
        <w:ind w:left="0" w:firstLine="643" w:firstLineChars="200"/>
        <w:rPr>
          <w:lang w:bidi="ar"/>
        </w:rPr>
      </w:pPr>
      <w:bookmarkStart w:id="1" w:name="_Toc26401550"/>
      <w:r>
        <w:rPr>
          <w:rFonts w:hint="eastAsia"/>
          <w:lang w:bidi="ar"/>
        </w:rPr>
        <w:t>资金</w:t>
      </w:r>
      <w:bookmarkEnd w:id="1"/>
      <w:r>
        <w:rPr>
          <w:rFonts w:hint="eastAsia"/>
          <w:lang w:bidi="ar"/>
        </w:rPr>
        <w:t>投入和使用情况</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本项目总投资</w:t>
      </w:r>
      <w:r>
        <w:rPr>
          <w:rFonts w:hint="eastAsia" w:ascii="仿宋_GB2312" w:hAnsi="仿宋" w:eastAsia="仿宋_GB2312" w:cs="宋体"/>
          <w:sz w:val="32"/>
          <w:szCs w:val="32"/>
          <w:lang w:val="en-US" w:eastAsia="zh-CN" w:bidi="ar"/>
        </w:rPr>
        <w:t>3.6万</w:t>
      </w:r>
      <w:r>
        <w:rPr>
          <w:rFonts w:hint="eastAsia" w:ascii="仿宋_GB2312" w:hAnsi="仿宋" w:eastAsia="仿宋_GB2312" w:cs="宋体"/>
          <w:sz w:val="32"/>
          <w:szCs w:val="32"/>
          <w:lang w:bidi="ar"/>
        </w:rPr>
        <w:t>元，资金来源为本级部门预算资金。</w:t>
      </w:r>
    </w:p>
    <w:p>
      <w:pPr>
        <w:spacing w:before="120" w:beforeLines="50" w:line="600" w:lineRule="exact"/>
        <w:ind w:firstLine="645"/>
        <w:rPr>
          <w:rFonts w:hint="eastAsia" w:ascii="仿宋_GB2312" w:hAnsi="仿宋" w:eastAsia="仿宋_GB2312" w:cs="宋体"/>
          <w:sz w:val="32"/>
          <w:szCs w:val="32"/>
          <w:lang w:bidi="ar"/>
        </w:rPr>
      </w:pPr>
      <w:r>
        <w:rPr>
          <w:rFonts w:hint="eastAsia" w:ascii="仿宋_GB2312" w:hAnsi="仿宋" w:eastAsia="仿宋_GB2312" w:cs="宋体"/>
          <w:sz w:val="32"/>
          <w:szCs w:val="32"/>
          <w:lang w:eastAsia="zh-CN" w:bidi="ar"/>
        </w:rPr>
        <w:t>地震台站运行项目</w:t>
      </w:r>
      <w:r>
        <w:rPr>
          <w:rFonts w:hint="eastAsia" w:ascii="仿宋_GB2312" w:hAnsi="仿宋" w:eastAsia="仿宋_GB2312" w:cs="宋体"/>
          <w:sz w:val="32"/>
          <w:szCs w:val="32"/>
          <w:lang w:bidi="ar"/>
        </w:rPr>
        <w:t>资金的使用范围：支付</w:t>
      </w:r>
      <w:r>
        <w:rPr>
          <w:rFonts w:hint="eastAsia" w:ascii="仿宋_GB2312" w:hAnsi="仿宋" w:eastAsia="仿宋_GB2312" w:cs="宋体"/>
          <w:sz w:val="32"/>
          <w:szCs w:val="32"/>
          <w:lang w:val="en-US" w:eastAsia="zh-CN" w:bidi="ar"/>
        </w:rPr>
        <w:t>巡检车辆油料费、维修费</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val="en-US" w:eastAsia="zh-CN" w:bidi="ar"/>
        </w:rPr>
        <w:t>办公</w:t>
      </w:r>
      <w:r>
        <w:rPr>
          <w:rFonts w:hint="eastAsia" w:ascii="仿宋_GB2312" w:hAnsi="仿宋" w:eastAsia="仿宋_GB2312" w:cs="宋体"/>
          <w:sz w:val="32"/>
          <w:szCs w:val="32"/>
          <w:lang w:bidi="ar"/>
        </w:rPr>
        <w:t>费等。</w:t>
      </w:r>
    </w:p>
    <w:p>
      <w:pPr>
        <w:spacing w:before="120" w:beforeLines="50" w:line="600" w:lineRule="exact"/>
        <w:ind w:firstLine="645"/>
        <w:rPr>
          <w:rFonts w:ascii="仿宋" w:hAnsi="仿宋" w:eastAsia="仿宋" w:cs="仿宋"/>
          <w:bCs/>
          <w:spacing w:val="-4"/>
          <w:sz w:val="32"/>
          <w:szCs w:val="32"/>
        </w:rPr>
      </w:pPr>
      <w:r>
        <w:rPr>
          <w:rFonts w:hint="eastAsia" w:ascii="仿宋_GB2312" w:hAnsi="仿宋" w:eastAsia="仿宋_GB2312" w:cs="宋体"/>
          <w:sz w:val="32"/>
          <w:szCs w:val="32"/>
          <w:lang w:eastAsia="zh-CN" w:bidi="ar"/>
        </w:rPr>
        <w:t>喀什地区地震局</w:t>
      </w:r>
      <w:r>
        <w:rPr>
          <w:rFonts w:hint="eastAsia" w:ascii="仿宋_GB2312" w:hAnsi="仿宋" w:eastAsia="仿宋_GB2312" w:cs="宋体"/>
          <w:sz w:val="32"/>
          <w:szCs w:val="32"/>
          <w:lang w:bidi="ar"/>
        </w:rPr>
        <w:t>严格按照内控相关制度和资金管理制度管理和支付资金。项目支付资金由项目执行人员、分管财务领导共同签字，召开财务事项集体会议讨论批准后实施，不存在截留、挤占、挪用、虚列支出等情况。</w:t>
      </w:r>
    </w:p>
    <w:p>
      <w:pPr>
        <w:pStyle w:val="23"/>
        <w:ind w:left="0" w:firstLine="643" w:firstLineChars="200"/>
        <w:rPr>
          <w:lang w:bidi="ar"/>
        </w:rPr>
      </w:pPr>
      <w:bookmarkStart w:id="2" w:name="_Toc26401551"/>
      <w:r>
        <w:rPr>
          <w:rFonts w:hint="eastAsia"/>
          <w:lang w:bidi="ar"/>
        </w:rPr>
        <w:t>绩效目标</w:t>
      </w:r>
      <w:bookmarkEnd w:id="2"/>
    </w:p>
    <w:p>
      <w:pPr>
        <w:spacing w:before="120" w:beforeLines="50" w:line="600" w:lineRule="exact"/>
        <w:ind w:firstLine="645"/>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bidi="ar"/>
        </w:rPr>
        <w:t>总体目标为：</w:t>
      </w:r>
      <w:r>
        <w:rPr>
          <w:rFonts w:hint="eastAsia" w:ascii="仿宋_GB2312" w:hAnsi="仿宋" w:eastAsia="仿宋_GB2312" w:cs="宋体"/>
          <w:sz w:val="32"/>
          <w:szCs w:val="32"/>
          <w:lang w:val="en-US" w:eastAsia="zh-CN" w:bidi="ar"/>
        </w:rPr>
        <w:t>1、对我区27个强震台和9个遥测台（共计36个台站）进行运维；</w:t>
      </w:r>
    </w:p>
    <w:p>
      <w:pPr>
        <w:spacing w:before="120" w:beforeLines="50" w:line="600" w:lineRule="exact"/>
        <w:ind w:firstLine="645"/>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2、如台站运行出现数据中断，在7天之内完成仪器故障台站的维修、3天之内完成供电维护；</w:t>
      </w:r>
    </w:p>
    <w:p>
      <w:pPr>
        <w:spacing w:before="120" w:beforeLines="50" w:line="600" w:lineRule="exact"/>
        <w:ind w:firstLine="645"/>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3、保障每个台站年运行率达到11个月以上；</w:t>
      </w:r>
    </w:p>
    <w:p>
      <w:pPr>
        <w:spacing w:before="120" w:beforeLines="50" w:line="600" w:lineRule="exact"/>
        <w:ind w:firstLine="645"/>
        <w:rPr>
          <w:rFonts w:hint="eastAsia" w:ascii="仿宋_GB2312" w:hAnsi="仿宋" w:eastAsia="仿宋_GB2312" w:cs="宋体"/>
          <w:sz w:val="32"/>
          <w:szCs w:val="32"/>
          <w:lang w:val="en-US" w:eastAsia="zh-CN" w:bidi="ar"/>
        </w:rPr>
      </w:pPr>
      <w:r>
        <w:rPr>
          <w:rFonts w:hint="eastAsia" w:ascii="仿宋_GB2312" w:hAnsi="仿宋" w:eastAsia="仿宋_GB2312" w:cs="宋体"/>
          <w:sz w:val="32"/>
          <w:szCs w:val="32"/>
          <w:lang w:val="en-US" w:eastAsia="zh-CN" w:bidi="ar"/>
        </w:rPr>
        <w:t>4、共需资金3.6万元；</w:t>
      </w:r>
    </w:p>
    <w:p>
      <w:pPr>
        <w:spacing w:before="120" w:beforeLines="50" w:line="600" w:lineRule="exact"/>
        <w:ind w:firstLine="645"/>
        <w:rPr>
          <w:rFonts w:hint="eastAsia" w:ascii="仿宋" w:hAnsi="仿宋" w:eastAsia="仿宋" w:cs="仿宋"/>
          <w:bCs/>
          <w:spacing w:val="-4"/>
          <w:sz w:val="32"/>
          <w:szCs w:val="32"/>
        </w:rPr>
      </w:pPr>
      <w:r>
        <w:rPr>
          <w:rFonts w:hint="eastAsia" w:ascii="仿宋_GB2312" w:hAnsi="仿宋" w:eastAsia="仿宋_GB2312" w:cs="宋体"/>
          <w:sz w:val="32"/>
          <w:szCs w:val="32"/>
          <w:lang w:val="en-US" w:eastAsia="zh-CN" w:bidi="ar"/>
        </w:rPr>
        <w:t>5、保障台站数据记录和传输的连续性。为做好地震监测和数据共享打下基础。监测结果满意率高于90%。</w:t>
      </w:r>
    </w:p>
    <w:p>
      <w:pPr>
        <w:spacing w:before="120" w:beforeLines="50" w:line="600" w:lineRule="exact"/>
        <w:rPr>
          <w:rFonts w:ascii="仿宋_GB2312" w:hAnsi="仿宋" w:eastAsia="仿宋_GB2312" w:cs="宋体"/>
          <w:color w:val="FF0000"/>
          <w:sz w:val="32"/>
          <w:szCs w:val="32"/>
          <w:lang w:bidi="ar"/>
        </w:rPr>
      </w:pPr>
      <w:r>
        <w:rPr>
          <w:rFonts w:hint="eastAsia" w:ascii="仿宋_GB2312" w:hAnsi="仿宋" w:eastAsia="仿宋_GB2312" w:cs="宋体"/>
          <w:sz w:val="32"/>
          <w:szCs w:val="32"/>
          <w:lang w:bidi="ar"/>
        </w:rPr>
        <w:t xml:space="preserve"> </w:t>
      </w:r>
      <w:r>
        <w:rPr>
          <w:rFonts w:ascii="仿宋_GB2312" w:hAnsi="仿宋" w:eastAsia="仿宋_GB2312" w:cs="宋体"/>
          <w:sz w:val="32"/>
          <w:szCs w:val="32"/>
          <w:lang w:bidi="ar"/>
        </w:rPr>
        <w:t xml:space="preserve">   </w:t>
      </w:r>
      <w:r>
        <w:rPr>
          <w:rFonts w:hint="eastAsia" w:ascii="仿宋_GB2312" w:hAnsi="仿宋" w:eastAsia="仿宋_GB2312" w:cs="宋体"/>
          <w:sz w:val="32"/>
          <w:szCs w:val="32"/>
          <w:lang w:bidi="ar"/>
        </w:rPr>
        <w:t>项目共设置</w:t>
      </w:r>
      <w:r>
        <w:rPr>
          <w:rFonts w:ascii="仿宋_GB2312" w:hAnsi="仿宋" w:eastAsia="仿宋_GB2312" w:cs="宋体"/>
          <w:sz w:val="32"/>
          <w:szCs w:val="32"/>
          <w:lang w:bidi="ar"/>
        </w:rPr>
        <w:t>1</w:t>
      </w:r>
      <w:r>
        <w:rPr>
          <w:rFonts w:hint="eastAsia" w:ascii="仿宋_GB2312" w:hAnsi="仿宋" w:eastAsia="仿宋_GB2312" w:cs="宋体"/>
          <w:sz w:val="32"/>
          <w:szCs w:val="32"/>
          <w:lang w:bidi="ar"/>
        </w:rPr>
        <w:t>级指标3个，二级指标</w:t>
      </w:r>
      <w:r>
        <w:rPr>
          <w:rFonts w:hint="eastAsia" w:ascii="仿宋_GB2312" w:hAnsi="仿宋" w:eastAsia="仿宋_GB2312" w:cs="宋体"/>
          <w:sz w:val="32"/>
          <w:szCs w:val="32"/>
          <w:lang w:val="en-US" w:eastAsia="zh-CN" w:bidi="ar"/>
        </w:rPr>
        <w:t>7</w:t>
      </w:r>
      <w:r>
        <w:rPr>
          <w:rFonts w:hint="eastAsia" w:ascii="仿宋_GB2312" w:hAnsi="仿宋" w:eastAsia="仿宋_GB2312" w:cs="宋体"/>
          <w:sz w:val="32"/>
          <w:szCs w:val="32"/>
          <w:lang w:bidi="ar"/>
        </w:rPr>
        <w:t>个，三级指标</w:t>
      </w:r>
      <w:r>
        <w:rPr>
          <w:rFonts w:hint="eastAsia" w:ascii="仿宋_GB2312" w:hAnsi="仿宋" w:eastAsia="仿宋_GB2312" w:cs="宋体"/>
          <w:sz w:val="32"/>
          <w:szCs w:val="32"/>
          <w:lang w:val="en-US" w:eastAsia="zh-CN" w:bidi="ar"/>
        </w:rPr>
        <w:t>9</w:t>
      </w:r>
      <w:r>
        <w:rPr>
          <w:rFonts w:hint="eastAsia" w:ascii="仿宋_GB2312" w:hAnsi="仿宋" w:eastAsia="仿宋_GB2312" w:cs="宋体"/>
          <w:sz w:val="32"/>
          <w:szCs w:val="32"/>
          <w:lang w:bidi="ar"/>
        </w:rPr>
        <w:t>个，绩效目标申报表详见附件1。</w:t>
      </w:r>
    </w:p>
    <w:p>
      <w:pPr>
        <w:pStyle w:val="21"/>
        <w:numPr>
          <w:ilvl w:val="0"/>
          <w:numId w:val="2"/>
        </w:numPr>
        <w:ind w:firstLineChars="0"/>
        <w:rPr>
          <w:lang w:bidi="ar"/>
        </w:rPr>
      </w:pPr>
      <w:bookmarkStart w:id="3" w:name="_Toc26401552"/>
      <w:r>
        <w:rPr>
          <w:rFonts w:hint="eastAsia"/>
          <w:lang w:bidi="ar"/>
        </w:rPr>
        <w:t>评价工作简述</w:t>
      </w:r>
      <w:bookmarkEnd w:id="3"/>
    </w:p>
    <w:p>
      <w:pPr>
        <w:pStyle w:val="23"/>
        <w:numPr>
          <w:ilvl w:val="0"/>
          <w:numId w:val="4"/>
        </w:numPr>
        <w:ind w:left="0" w:firstLine="643" w:firstLineChars="200"/>
        <w:rPr>
          <w:lang w:bidi="ar"/>
        </w:rPr>
      </w:pPr>
      <w:bookmarkStart w:id="4" w:name="_Toc26401553"/>
      <w:r>
        <w:rPr>
          <w:rFonts w:hint="eastAsia"/>
          <w:lang w:bidi="ar"/>
        </w:rPr>
        <w:t>评价目的</w:t>
      </w:r>
      <w:bookmarkEnd w:id="4"/>
    </w:p>
    <w:p>
      <w:pPr>
        <w:spacing w:before="120" w:beforeLines="50" w:line="600" w:lineRule="exact"/>
        <w:ind w:firstLine="640" w:firstLineChars="200"/>
        <w:rPr>
          <w:rFonts w:hint="eastAsia" w:ascii="仿宋_GB2312" w:hAnsi="仿宋" w:eastAsia="仿宋_GB2312" w:cs="宋体"/>
          <w:color w:val="FF0000"/>
          <w:sz w:val="32"/>
          <w:szCs w:val="32"/>
          <w:lang w:eastAsia="zh-CN" w:bidi="ar"/>
        </w:rPr>
      </w:pPr>
      <w:r>
        <w:rPr>
          <w:rFonts w:hint="eastAsia" w:ascii="仿宋_GB2312" w:hAnsi="仿宋" w:eastAsia="仿宋_GB2312" w:cs="宋体"/>
          <w:sz w:val="32"/>
          <w:szCs w:val="32"/>
          <w:lang w:bidi="ar"/>
        </w:rPr>
        <w:t>本次绩效评价遵循财政部《项目</w:t>
      </w:r>
      <w:r>
        <w:rPr>
          <w:rFonts w:ascii="仿宋_GB2312" w:hAnsi="仿宋" w:eastAsia="仿宋_GB2312" w:cs="宋体"/>
          <w:sz w:val="32"/>
          <w:szCs w:val="32"/>
          <w:lang w:bidi="ar"/>
        </w:rPr>
        <w:t>支出绩效评价管理办法》（财预〔2020〕10号）和自治区财政厅</w:t>
      </w:r>
      <w:r>
        <w:rPr>
          <w:rFonts w:hint="eastAsia" w:ascii="仿宋_GB2312" w:hAnsi="仿宋_GB2312" w:eastAsia="仿宋_GB2312" w:cs="仿宋_GB2312"/>
          <w:kern w:val="0"/>
          <w:sz w:val="32"/>
          <w:szCs w:val="32"/>
          <w:shd w:val="clear" w:color="auto" w:fill="FFFFFF"/>
          <w:lang w:bidi="ar"/>
        </w:rPr>
        <w:t>《自治区财政支出绩效评价管理暂行办法》（新财预〔</w:t>
      </w:r>
      <w:r>
        <w:rPr>
          <w:rFonts w:ascii="仿宋_GB2312" w:hAnsi="仿宋_GB2312" w:eastAsia="仿宋_GB2312" w:cs="仿宋_GB2312"/>
          <w:kern w:val="0"/>
          <w:sz w:val="32"/>
          <w:szCs w:val="32"/>
          <w:shd w:val="clear" w:color="auto" w:fill="FFFFFF"/>
          <w:lang w:bidi="ar"/>
        </w:rPr>
        <w:t>2018〕189号</w:t>
      </w:r>
      <w:r>
        <w:rPr>
          <w:rFonts w:hint="eastAsia" w:ascii="仿宋_GB2312" w:hAnsi="仿宋_GB2312" w:eastAsia="仿宋_GB2312" w:cs="仿宋_GB2312"/>
          <w:kern w:val="0"/>
          <w:sz w:val="32"/>
          <w:szCs w:val="32"/>
          <w:shd w:val="clear" w:color="auto" w:fill="FFFFFF"/>
          <w:lang w:bidi="ar"/>
        </w:rPr>
        <w:t>）</w:t>
      </w:r>
      <w:r>
        <w:rPr>
          <w:rFonts w:ascii="仿宋_GB2312" w:hAnsi="仿宋" w:eastAsia="仿宋_GB2312" w:cs="宋体"/>
          <w:sz w:val="32"/>
          <w:szCs w:val="32"/>
          <w:lang w:bidi="ar"/>
        </w:rPr>
        <w:t>等相关政策文件与规定，</w:t>
      </w:r>
      <w:r>
        <w:rPr>
          <w:rFonts w:hint="eastAsia" w:ascii="仿宋_GB2312" w:hAnsi="仿宋" w:eastAsia="仿宋_GB2312" w:cs="宋体"/>
          <w:sz w:val="32"/>
          <w:szCs w:val="32"/>
          <w:lang w:bidi="ar"/>
        </w:rPr>
        <w:t>旨在评价</w:t>
      </w:r>
      <w:r>
        <w:rPr>
          <w:rFonts w:hint="eastAsia" w:ascii="仿宋_GB2312" w:hAnsi="仿宋" w:eastAsia="仿宋_GB2312" w:cs="宋体"/>
          <w:sz w:val="32"/>
          <w:szCs w:val="32"/>
          <w:lang w:eastAsia="zh-CN" w:bidi="ar"/>
        </w:rPr>
        <w:t>地震台站运行项目</w:t>
      </w:r>
      <w:r>
        <w:rPr>
          <w:rFonts w:hint="eastAsia" w:ascii="仿宋_GB2312" w:hAnsi="仿宋" w:eastAsia="仿宋_GB2312" w:cs="宋体"/>
          <w:sz w:val="32"/>
          <w:szCs w:val="32"/>
          <w:lang w:bidi="ar"/>
        </w:rPr>
        <w:t>实施前期、过程及效果，评价财政预算资金使用的效率及效益。开展本项目绩效评价的目的是提高我国自然灾害防治能力</w:t>
      </w:r>
      <w:r>
        <w:rPr>
          <w:rFonts w:hint="eastAsia" w:ascii="仿宋_GB2312" w:hAnsi="仿宋" w:eastAsia="仿宋_GB2312" w:cs="宋体"/>
          <w:sz w:val="32"/>
          <w:szCs w:val="32"/>
          <w:lang w:eastAsia="zh-CN" w:bidi="ar"/>
        </w:rPr>
        <w:t>，</w:t>
      </w:r>
      <w:r>
        <w:rPr>
          <w:rFonts w:hint="eastAsia" w:ascii="仿宋_GB2312" w:hAnsi="仿宋_GB2312" w:eastAsia="仿宋_GB2312" w:cs="仿宋_GB2312"/>
          <w:color w:val="auto"/>
          <w:sz w:val="32"/>
          <w:szCs w:val="32"/>
        </w:rPr>
        <w:t>牢固树立“防大震、抗大灾”责任意识，认真落实地震防范应急各项准备工作，有效提升综合防震减灾救灾能力。</w:t>
      </w:r>
    </w:p>
    <w:p>
      <w:pPr>
        <w:pStyle w:val="23"/>
        <w:numPr>
          <w:ilvl w:val="0"/>
          <w:numId w:val="4"/>
        </w:numPr>
        <w:ind w:left="0" w:firstLine="643" w:firstLineChars="200"/>
        <w:rPr>
          <w:lang w:bidi="ar"/>
        </w:rPr>
      </w:pPr>
      <w:r>
        <w:rPr>
          <w:rFonts w:hint="eastAsia"/>
          <w:lang w:bidi="ar"/>
        </w:rPr>
        <w:t>本次绩效评价的对象及范围</w:t>
      </w:r>
      <w:bookmarkStart w:id="5" w:name="_Toc26401554"/>
    </w:p>
    <w:p>
      <w:pPr>
        <w:spacing w:before="120" w:beforeLines="50" w:line="600" w:lineRule="exact"/>
        <w:ind w:firstLine="640" w:firstLineChars="200"/>
        <w:rPr>
          <w:rFonts w:ascii="仿宋_GB2312" w:hAnsi="仿宋" w:eastAsia="仿宋_GB2312" w:cs="宋体"/>
          <w:sz w:val="32"/>
          <w:szCs w:val="32"/>
          <w:lang w:bidi="ar"/>
        </w:rPr>
      </w:pPr>
      <w:r>
        <w:rPr>
          <w:rFonts w:ascii="仿宋_GB2312" w:hAnsi="仿宋" w:eastAsia="仿宋_GB2312" w:cs="宋体"/>
          <w:sz w:val="32"/>
          <w:szCs w:val="32"/>
          <w:lang w:bidi="ar"/>
        </w:rPr>
        <w:t>本次评价对象为</w:t>
      </w:r>
      <w:r>
        <w:rPr>
          <w:rFonts w:hint="eastAsia" w:ascii="仿宋_GB2312" w:hAnsi="仿宋" w:eastAsia="仿宋_GB2312" w:cs="宋体"/>
          <w:sz w:val="32"/>
          <w:szCs w:val="32"/>
          <w:lang w:eastAsia="zh-CN" w:bidi="ar"/>
        </w:rPr>
        <w:t>地震台站运行项目</w:t>
      </w:r>
      <w:r>
        <w:rPr>
          <w:rFonts w:ascii="仿宋_GB2312" w:hAnsi="仿宋" w:eastAsia="仿宋_GB2312" w:cs="宋体"/>
          <w:sz w:val="32"/>
          <w:szCs w:val="32"/>
          <w:lang w:bidi="ar"/>
        </w:rPr>
        <w:t>资金，评价范围包括专项资</w:t>
      </w:r>
      <w:r>
        <w:rPr>
          <w:rFonts w:hint="eastAsia" w:ascii="仿宋_GB2312" w:hAnsi="仿宋" w:eastAsia="仿宋_GB2312" w:cs="宋体"/>
          <w:sz w:val="32"/>
          <w:szCs w:val="32"/>
          <w:lang w:bidi="ar"/>
        </w:rPr>
        <w:t>金的安排、组织及使用效益。</w:t>
      </w:r>
    </w:p>
    <w:p>
      <w:pPr>
        <w:pStyle w:val="23"/>
        <w:numPr>
          <w:ilvl w:val="0"/>
          <w:numId w:val="4"/>
        </w:numPr>
        <w:ind w:left="0" w:firstLine="643" w:firstLineChars="200"/>
        <w:rPr>
          <w:lang w:bidi="ar"/>
        </w:rPr>
      </w:pPr>
      <w:r>
        <w:rPr>
          <w:rFonts w:hint="eastAsia"/>
          <w:lang w:bidi="ar"/>
        </w:rPr>
        <w:t>绩效评价原则</w:t>
      </w:r>
      <w:bookmarkEnd w:id="5"/>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本次绩效评价遵循的原则包括：</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科学公正。绩效评价应当运用科学合理的方法，按照规范的程序，对项目绩效进行客观、公正的反映。</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统筹兼顾。单位自评、部门评价和财政评价应职责明确，各有侧重，相互衔接。单位自评应由项目单位自主实施，即“谁支出、谁自评”。部门评价和财政评价应在单位自评的基础上开展，必要时可委托第三方机构实施。</w:t>
      </w:r>
    </w:p>
    <w:p>
      <w:pPr>
        <w:pStyle w:val="23"/>
        <w:keepNext w:val="0"/>
        <w:keepLines w:val="0"/>
        <w:numPr>
          <w:ilvl w:val="1"/>
          <w:numId w:val="5"/>
        </w:numPr>
        <w:ind w:left="0" w:firstLine="640" w:firstLineChars="200"/>
        <w:rPr>
          <w:rFonts w:hAnsi="仿宋" w:cs="宋体"/>
          <w:b w:val="0"/>
          <w:lang w:bidi="ar"/>
        </w:rPr>
      </w:pPr>
      <w:r>
        <w:rPr>
          <w:rFonts w:hint="eastAsia" w:hAnsi="仿宋" w:cs="宋体"/>
          <w:b w:val="0"/>
          <w:lang w:bidi="ar"/>
        </w:rPr>
        <w:t>激励约束。绩效评价结果应与预算安排、政策调整、改进管理实质性挂钩，体现奖优罚劣和激励相容导向，有效要安排、低效要压减、无效要问责。</w:t>
      </w:r>
    </w:p>
    <w:p>
      <w:pPr>
        <w:pStyle w:val="23"/>
        <w:keepNext w:val="0"/>
        <w:keepLines w:val="0"/>
        <w:numPr>
          <w:ilvl w:val="1"/>
          <w:numId w:val="5"/>
        </w:numPr>
        <w:ind w:left="0" w:firstLine="640" w:firstLineChars="200"/>
        <w:rPr>
          <w:b w:val="0"/>
          <w:lang w:bidi="ar"/>
        </w:rPr>
      </w:pPr>
      <w:r>
        <w:rPr>
          <w:rFonts w:hint="eastAsia" w:hAnsi="仿宋" w:cs="宋体"/>
          <w:b w:val="0"/>
          <w:lang w:bidi="ar"/>
        </w:rPr>
        <w:t>公开透明。绩效评价结果应依法依规公开，并自觉接受社会监督。</w:t>
      </w:r>
    </w:p>
    <w:p>
      <w:pPr>
        <w:pStyle w:val="23"/>
        <w:numPr>
          <w:ilvl w:val="0"/>
          <w:numId w:val="4"/>
        </w:numPr>
        <w:ind w:left="0" w:firstLine="643" w:firstLineChars="200"/>
        <w:rPr>
          <w:lang w:bidi="ar"/>
        </w:rPr>
      </w:pPr>
      <w:r>
        <w:rPr>
          <w:rFonts w:hint="eastAsia"/>
          <w:lang w:bidi="ar"/>
        </w:rPr>
        <w:t>本项目绩效评价体系</w:t>
      </w:r>
    </w:p>
    <w:p>
      <w:pPr>
        <w:pStyle w:val="23"/>
        <w:numPr>
          <w:ilvl w:val="0"/>
          <w:numId w:val="0"/>
        </w:numPr>
        <w:ind w:firstLine="640" w:firstLineChars="200"/>
        <w:rPr>
          <w:rFonts w:hint="eastAsia"/>
          <w:b w:val="0"/>
          <w:lang w:bidi="ar"/>
        </w:rPr>
      </w:pPr>
      <w:r>
        <w:rPr>
          <w:rFonts w:hint="eastAsia"/>
          <w:b w:val="0"/>
          <w:lang w:bidi="ar"/>
        </w:rPr>
        <w:t>本项目绩效评价体系为根据财预</w:t>
      </w:r>
      <w:r>
        <w:rPr>
          <w:rFonts w:hint="eastAsia" w:ascii="仿宋" w:hAnsi="仿宋" w:eastAsia="仿宋"/>
          <w:b w:val="0"/>
          <w:lang w:bidi="ar"/>
        </w:rPr>
        <w:t>﹝</w:t>
      </w:r>
      <w:r>
        <w:rPr>
          <w:rFonts w:hint="eastAsia"/>
          <w:b w:val="0"/>
          <w:lang w:bidi="ar"/>
        </w:rPr>
        <w:t>2</w:t>
      </w:r>
      <w:r>
        <w:rPr>
          <w:b w:val="0"/>
          <w:lang w:bidi="ar"/>
        </w:rPr>
        <w:t>020</w:t>
      </w:r>
      <w:r>
        <w:rPr>
          <w:rFonts w:hint="eastAsia" w:ascii="仿宋" w:hAnsi="仿宋" w:eastAsia="仿宋"/>
          <w:b w:val="0"/>
          <w:lang w:bidi="ar"/>
        </w:rPr>
        <w:t>﹞</w:t>
      </w:r>
      <w:r>
        <w:rPr>
          <w:rFonts w:hint="eastAsia"/>
          <w:b w:val="0"/>
          <w:lang w:bidi="ar"/>
        </w:rPr>
        <w:t>1</w:t>
      </w:r>
      <w:r>
        <w:rPr>
          <w:b w:val="0"/>
          <w:lang w:bidi="ar"/>
        </w:rPr>
        <w:t>0</w:t>
      </w:r>
      <w:r>
        <w:rPr>
          <w:rFonts w:hint="eastAsia"/>
          <w:b w:val="0"/>
          <w:lang w:bidi="ar"/>
        </w:rPr>
        <w:t>号共性指标及个性化指标设置，详见附件</w:t>
      </w:r>
      <w:r>
        <w:rPr>
          <w:rFonts w:hint="eastAsia"/>
          <w:b w:val="0"/>
          <w:lang w:val="en-US" w:eastAsia="zh-CN" w:bidi="ar"/>
        </w:rPr>
        <w:t>4</w:t>
      </w:r>
      <w:r>
        <w:rPr>
          <w:rFonts w:hint="eastAsia"/>
          <w:b w:val="0"/>
          <w:lang w:bidi="ar"/>
        </w:rPr>
        <w:t>。</w:t>
      </w:r>
    </w:p>
    <w:p>
      <w:pPr>
        <w:pStyle w:val="23"/>
        <w:keepNext w:val="0"/>
        <w:keepLines w:val="0"/>
        <w:numPr>
          <w:ilvl w:val="0"/>
          <w:numId w:val="4"/>
        </w:numPr>
        <w:ind w:left="0" w:firstLine="643" w:firstLineChars="200"/>
        <w:rPr>
          <w:lang w:bidi="ar"/>
        </w:rPr>
      </w:pPr>
      <w:bookmarkStart w:id="6" w:name="_Toc26401555"/>
      <w:r>
        <w:rPr>
          <w:rFonts w:hint="eastAsia"/>
          <w:lang w:bidi="ar"/>
        </w:rPr>
        <w:t>绩效评价方法</w:t>
      </w:r>
      <w:bookmarkEnd w:id="6"/>
    </w:p>
    <w:p>
      <w:pPr>
        <w:spacing w:before="120" w:beforeLines="50" w:line="600" w:lineRule="exact"/>
        <w:ind w:firstLine="645"/>
        <w:rPr>
          <w:rFonts w:ascii="仿宋_GB2312" w:hAnsi="仿宋" w:eastAsia="仿宋_GB2312" w:cs="宋体"/>
          <w:sz w:val="32"/>
          <w:szCs w:val="32"/>
          <w:lang w:bidi="ar"/>
        </w:rPr>
      </w:pPr>
      <w:r>
        <w:rPr>
          <w:rFonts w:hint="eastAsia" w:ascii="仿宋_GB2312" w:hAnsi="仿宋" w:eastAsia="仿宋_GB2312" w:cs="宋体"/>
          <w:sz w:val="32"/>
          <w:szCs w:val="32"/>
          <w:lang w:bidi="ar"/>
        </w:rPr>
        <w:t>本次绩效评价方法的选用坚持简便有效的原则采用成本效益分析法、比较法、因素分析法、最低成本法、问卷调查法、综合分析法等方法。</w:t>
      </w:r>
    </w:p>
    <w:p>
      <w:pPr>
        <w:pStyle w:val="23"/>
        <w:keepNext w:val="0"/>
        <w:keepLines w:val="0"/>
        <w:numPr>
          <w:ilvl w:val="0"/>
          <w:numId w:val="4"/>
        </w:numPr>
        <w:ind w:left="0" w:firstLine="643" w:firstLineChars="200"/>
        <w:rPr>
          <w:lang w:bidi="ar"/>
        </w:rPr>
      </w:pPr>
      <w:r>
        <w:rPr>
          <w:rFonts w:hint="eastAsia"/>
          <w:lang w:bidi="ar"/>
        </w:rPr>
        <w:t>评价标准</w:t>
      </w:r>
    </w:p>
    <w:p>
      <w:pPr>
        <w:pStyle w:val="23"/>
        <w:keepNext w:val="0"/>
        <w:keepLines w:val="0"/>
        <w:numPr>
          <w:ilvl w:val="0"/>
          <w:numId w:val="0"/>
        </w:numPr>
        <w:rPr>
          <w:lang w:bidi="ar"/>
        </w:rPr>
      </w:pPr>
      <w:r>
        <w:rPr>
          <w:rFonts w:hint="eastAsia"/>
          <w:lang w:bidi="ar"/>
        </w:rPr>
        <w:t xml:space="preserve"> </w:t>
      </w:r>
      <w:r>
        <w:rPr>
          <w:lang w:bidi="ar"/>
        </w:rPr>
        <w:t xml:space="preserve">   </w:t>
      </w:r>
      <w:r>
        <w:rPr>
          <w:rFonts w:hint="eastAsia"/>
          <w:lang w:bidi="ar"/>
        </w:rPr>
        <w:t>项目评价标准采用</w:t>
      </w:r>
      <w:r>
        <w:rPr>
          <w:rFonts w:hint="eastAsia"/>
          <w:bCs w:val="0"/>
        </w:rPr>
        <w:t>计划标准。</w:t>
      </w:r>
    </w:p>
    <w:p>
      <w:pPr>
        <w:pStyle w:val="23"/>
        <w:keepNext w:val="0"/>
        <w:keepLines w:val="0"/>
        <w:numPr>
          <w:ilvl w:val="0"/>
          <w:numId w:val="4"/>
        </w:numPr>
        <w:ind w:left="0" w:firstLine="643" w:firstLineChars="200"/>
        <w:rPr>
          <w:lang w:bidi="ar"/>
        </w:rPr>
      </w:pPr>
      <w:r>
        <w:rPr>
          <w:rFonts w:hint="eastAsia"/>
          <w:lang w:bidi="ar"/>
        </w:rPr>
        <w:t>绩效评价工作过程</w:t>
      </w:r>
    </w:p>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本次评价成立了评价</w:t>
      </w:r>
      <w:r>
        <w:rPr>
          <w:rFonts w:hint="eastAsia"/>
          <w:b w:val="0"/>
          <w:bCs w:val="0"/>
          <w:lang w:eastAsia="zh-CN" w:bidi="ar"/>
        </w:rPr>
        <w:t>小组</w:t>
      </w:r>
      <w:r>
        <w:rPr>
          <w:rFonts w:hint="eastAsia"/>
          <w:b w:val="0"/>
          <w:bCs w:val="0"/>
          <w:lang w:bidi="ar"/>
        </w:rPr>
        <w:t>，成员如下：</w:t>
      </w:r>
    </w:p>
    <w:tbl>
      <w:tblPr>
        <w:tblStyle w:val="13"/>
        <w:tblW w:w="8296" w:type="dxa"/>
        <w:jc w:val="cente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tblGrid>
        <w:gridCol w:w="2765"/>
        <w:gridCol w:w="2765"/>
        <w:gridCol w:w="2766"/>
      </w:tblGrid>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评价人</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职责</w:t>
            </w:r>
          </w:p>
        </w:tc>
        <w:tc>
          <w:tcPr>
            <w:tcW w:w="2766"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职称</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郭跃军</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评价组组长</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highlight w:val="none"/>
                <w:lang w:val="en-US" w:eastAsia="zh-CN" w:bidi="ar"/>
              </w:rPr>
            </w:pPr>
            <w:r>
              <w:rPr>
                <w:rFonts w:hint="eastAsia"/>
                <w:b w:val="0"/>
                <w:bCs w:val="0"/>
                <w:highlight w:val="none"/>
                <w:lang w:val="en-US" w:eastAsia="zh-CN" w:bidi="ar"/>
              </w:rPr>
              <w:t>局长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文金山</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highlight w:val="none"/>
                <w:lang w:eastAsia="zh-CN" w:bidi="ar"/>
              </w:rPr>
            </w:pPr>
            <w:r>
              <w:rPr>
                <w:rFonts w:hint="eastAsia"/>
                <w:b w:val="0"/>
                <w:bCs w:val="0"/>
                <w:highlight w:val="none"/>
                <w:lang w:eastAsia="zh-CN" w:bidi="ar"/>
              </w:rPr>
              <w:t>科长</w:t>
            </w:r>
          </w:p>
        </w:tc>
      </w:tr>
      <w:tr>
        <w:tblPrEx>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Ex>
        <w:trPr>
          <w:jc w:val="center"/>
        </w:trPr>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周恒</w:t>
            </w:r>
          </w:p>
        </w:tc>
        <w:tc>
          <w:tcPr>
            <w:tcW w:w="2765" w:type="dxa"/>
            <w:vAlign w:val="center"/>
          </w:tcPr>
          <w:p>
            <w:pPr>
              <w:pStyle w:val="23"/>
              <w:keepNext w:val="0"/>
              <w:keepLines w:val="0"/>
              <w:numPr>
                <w:ilvl w:val="0"/>
                <w:numId w:val="0"/>
              </w:numPr>
              <w:spacing w:line="240" w:lineRule="atLeast"/>
              <w:jc w:val="center"/>
              <w:rPr>
                <w:b w:val="0"/>
                <w:bCs w:val="0"/>
                <w:lang w:bidi="ar"/>
              </w:rPr>
            </w:pPr>
            <w:r>
              <w:rPr>
                <w:rFonts w:hint="eastAsia"/>
                <w:b w:val="0"/>
                <w:bCs w:val="0"/>
                <w:lang w:bidi="ar"/>
              </w:rPr>
              <w:t>评价组成员</w:t>
            </w:r>
          </w:p>
        </w:tc>
        <w:tc>
          <w:tcPr>
            <w:tcW w:w="2766" w:type="dxa"/>
            <w:vAlign w:val="center"/>
          </w:tcPr>
          <w:p>
            <w:pPr>
              <w:pStyle w:val="23"/>
              <w:keepNext w:val="0"/>
              <w:keepLines w:val="0"/>
              <w:numPr>
                <w:ilvl w:val="0"/>
                <w:numId w:val="0"/>
              </w:numPr>
              <w:spacing w:line="240" w:lineRule="atLeast"/>
              <w:jc w:val="center"/>
              <w:rPr>
                <w:rFonts w:hint="eastAsia" w:eastAsia="仿宋_GB2312"/>
                <w:b w:val="0"/>
                <w:bCs w:val="0"/>
                <w:highlight w:val="none"/>
                <w:lang w:eastAsia="zh-CN" w:bidi="ar"/>
              </w:rPr>
            </w:pPr>
            <w:r>
              <w:rPr>
                <w:rFonts w:hint="eastAsia"/>
                <w:b w:val="0"/>
                <w:bCs w:val="0"/>
                <w:highlight w:val="none"/>
                <w:lang w:eastAsia="zh-CN" w:bidi="ar"/>
              </w:rPr>
              <w:t>科员</w:t>
            </w:r>
          </w:p>
        </w:tc>
      </w:tr>
    </w:tbl>
    <w:p>
      <w:pPr>
        <w:pStyle w:val="23"/>
        <w:keepNext w:val="0"/>
        <w:keepLines w:val="0"/>
        <w:numPr>
          <w:ilvl w:val="0"/>
          <w:numId w:val="0"/>
        </w:numPr>
        <w:ind w:firstLine="640" w:firstLineChars="200"/>
        <w:outlineLvl w:val="9"/>
        <w:rPr>
          <w:b w:val="0"/>
          <w:bCs w:val="0"/>
          <w:lang w:bidi="ar"/>
        </w:rPr>
      </w:pPr>
      <w:r>
        <w:rPr>
          <w:rFonts w:hint="eastAsia"/>
          <w:b w:val="0"/>
          <w:bCs w:val="0"/>
          <w:lang w:bidi="ar"/>
        </w:rPr>
        <w:t>本次评价设计了评价方案、评价指标体系，通过资料分析、访谈满意度调查等方式形成评价结论，在与项目单位沟通后确定评价意见，并出具评价报告。　</w:t>
      </w:r>
    </w:p>
    <w:p>
      <w:pPr>
        <w:pStyle w:val="21"/>
        <w:numPr>
          <w:ilvl w:val="0"/>
          <w:numId w:val="2"/>
        </w:numPr>
        <w:ind w:firstLineChars="0"/>
        <w:rPr>
          <w:color w:val="auto"/>
          <w:lang w:bidi="ar"/>
        </w:rPr>
      </w:pPr>
      <w:bookmarkStart w:id="7" w:name="_Toc26401558"/>
      <w:r>
        <w:rPr>
          <w:rFonts w:hint="eastAsia" w:ascii="黑体" w:hAnsi="黑体"/>
          <w:color w:val="auto"/>
        </w:rPr>
        <w:t>综合评价情况及评价结论</w:t>
      </w:r>
    </w:p>
    <w:p>
      <w:pPr>
        <w:pStyle w:val="21"/>
        <w:ind w:firstLine="640"/>
        <w:rPr>
          <w:rFonts w:ascii="仿宋_GB2312" w:eastAsia="仿宋_GB2312" w:hAnsiTheme="majorHAnsi"/>
          <w:b w:val="0"/>
          <w:bCs w:val="0"/>
          <w:kern w:val="2"/>
          <w:lang w:bidi="ar"/>
        </w:rPr>
      </w:pPr>
      <w:r>
        <w:rPr>
          <w:rFonts w:hint="eastAsia" w:ascii="仿宋_GB2312" w:eastAsia="仿宋_GB2312" w:hAnsiTheme="majorHAnsi"/>
          <w:b w:val="0"/>
          <w:bCs w:val="0"/>
          <w:kern w:val="2"/>
          <w:lang w:bidi="ar"/>
        </w:rPr>
        <w:t>经评价组通过资料分析的方式，采用综合分析法、成本效益分析法等对项目的决策、管理、绩效进行的综合评价分析，项目得分为</w:t>
      </w:r>
      <w:r>
        <w:rPr>
          <w:rFonts w:hint="eastAsia" w:ascii="仿宋_GB2312" w:eastAsia="仿宋_GB2312" w:hAnsiTheme="majorHAnsi"/>
          <w:b w:val="0"/>
          <w:bCs w:val="0"/>
          <w:kern w:val="2"/>
          <w:lang w:val="en-US" w:eastAsia="zh-CN" w:bidi="ar"/>
        </w:rPr>
        <w:t>84</w:t>
      </w:r>
      <w:r>
        <w:rPr>
          <w:rFonts w:hint="eastAsia" w:ascii="仿宋_GB2312" w:eastAsia="仿宋_GB2312" w:hAnsiTheme="majorHAnsi"/>
          <w:b w:val="0"/>
          <w:bCs w:val="0"/>
          <w:kern w:val="2"/>
          <w:lang w:bidi="ar"/>
        </w:rPr>
        <w:t>分，评价结果为</w:t>
      </w:r>
      <w:r>
        <w:rPr>
          <w:rFonts w:hint="eastAsia" w:ascii="仿宋_GB2312" w:eastAsia="仿宋_GB2312" w:hAnsiTheme="majorHAnsi"/>
          <w:b w:val="0"/>
          <w:bCs w:val="0"/>
          <w:kern w:val="2"/>
          <w:lang w:val="en-US" w:eastAsia="zh-CN" w:bidi="ar"/>
        </w:rPr>
        <w:t>良好</w:t>
      </w:r>
      <w:r>
        <w:rPr>
          <w:rFonts w:hint="eastAsia" w:ascii="仿宋_GB2312" w:eastAsia="仿宋_GB2312" w:hAnsiTheme="majorHAnsi"/>
          <w:b w:val="0"/>
          <w:bCs w:val="0"/>
          <w:kern w:val="2"/>
          <w:lang w:bidi="ar"/>
        </w:rPr>
        <w:t>，详见附件</w:t>
      </w:r>
      <w:r>
        <w:rPr>
          <w:rFonts w:hint="eastAsia" w:ascii="仿宋_GB2312" w:eastAsia="仿宋_GB2312" w:hAnsiTheme="majorHAnsi"/>
          <w:b w:val="0"/>
          <w:bCs w:val="0"/>
          <w:kern w:val="2"/>
          <w:lang w:val="en-US" w:eastAsia="zh-CN" w:bidi="ar"/>
        </w:rPr>
        <w:t>6</w:t>
      </w:r>
      <w:r>
        <w:rPr>
          <w:rFonts w:hint="eastAsia" w:ascii="仿宋_GB2312" w:eastAsia="仿宋_GB2312" w:hAnsiTheme="majorHAnsi"/>
          <w:b w:val="0"/>
          <w:bCs w:val="0"/>
          <w:kern w:val="2"/>
          <w:lang w:bidi="ar"/>
        </w:rPr>
        <w:t>。</w:t>
      </w:r>
    </w:p>
    <w:p>
      <w:pPr>
        <w:pStyle w:val="21"/>
        <w:numPr>
          <w:ilvl w:val="0"/>
          <w:numId w:val="2"/>
        </w:numPr>
        <w:ind w:firstLineChars="0"/>
        <w:rPr>
          <w:lang w:bidi="ar"/>
        </w:rPr>
      </w:pPr>
      <w:r>
        <w:rPr>
          <w:rFonts w:hint="eastAsia"/>
          <w:lang w:bidi="ar"/>
        </w:rPr>
        <w:t>绩效评价指标分析</w:t>
      </w:r>
      <w:bookmarkEnd w:id="7"/>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项目的决策情况</w:t>
      </w:r>
    </w:p>
    <w:p>
      <w:pPr>
        <w:pStyle w:val="26"/>
        <w:ind w:firstLine="640"/>
        <w:rPr>
          <w:rFonts w:hint="eastAsia" w:ascii="仿宋_GB2312" w:hAnsi="仿宋" w:eastAsia="仿宋_GB2312" w:cs="宋体"/>
          <w:sz w:val="32"/>
          <w:szCs w:val="32"/>
          <w:lang w:eastAsia="zh-CN" w:bidi="ar"/>
        </w:rPr>
      </w:pPr>
      <w:r>
        <w:rPr>
          <w:rFonts w:hint="eastAsia" w:ascii="仿宋_GB2312" w:hAnsi="仿宋" w:cs="宋体"/>
          <w:sz w:val="32"/>
          <w:szCs w:val="32"/>
          <w:lang w:bidi="ar"/>
        </w:rPr>
        <w:t>本项目的立项符合相关法规政策及部门职责，依据充分</w:t>
      </w:r>
      <w:r>
        <w:rPr>
          <w:rFonts w:hint="eastAsia" w:ascii="仿宋_GB2312" w:hAnsi="仿宋" w:cs="宋体"/>
          <w:sz w:val="32"/>
          <w:szCs w:val="32"/>
          <w:lang w:eastAsia="zh-CN" w:bidi="ar"/>
        </w:rPr>
        <w:t>，</w:t>
      </w:r>
      <w:r>
        <w:rPr>
          <w:rFonts w:hint="eastAsia" w:ascii="仿宋_GB2312" w:hAnsi="仿宋" w:cs="宋体"/>
          <w:sz w:val="32"/>
          <w:szCs w:val="32"/>
          <w:lang w:val="en-US" w:eastAsia="zh-CN" w:bidi="ar"/>
        </w:rPr>
        <w:t>但</w:t>
      </w:r>
      <w:r>
        <w:rPr>
          <w:rFonts w:hint="eastAsia" w:ascii="仿宋_GB2312" w:hAnsi="仿宋" w:cs="宋体"/>
          <w:sz w:val="32"/>
          <w:szCs w:val="32"/>
          <w:lang w:bidi="ar"/>
        </w:rPr>
        <w:t>未提供会议纪要和领导批示</w:t>
      </w:r>
      <w:r>
        <w:rPr>
          <w:rFonts w:hint="eastAsia" w:ascii="仿宋_GB2312" w:hAnsi="仿宋" w:cs="宋体"/>
          <w:sz w:val="32"/>
          <w:szCs w:val="32"/>
          <w:lang w:eastAsia="zh-CN" w:bidi="ar"/>
        </w:rPr>
        <w:t>。事前未经过必要的可行性研究、专家论证、风险评估；项目资料审批材料不完整。</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根据相关文件要求设置了绩效目标，项目绩效目标基本合理，与实际工作内容相关；项目预期产出效益和效果符合正常的业绩水平；与预算确定的项目投资额或资金量相匹配。将项目绩效目标细化分解为具体的绩效指标；通过清晰、可衡量的指标值予以体现；与项目目标任务数或计划数相对应。</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项目在资金投入方面，预算编制经过科学论证，资金额度与年度目标相适应，用以反映和考核项目预算编制的科学性、合理性情况。项目预算资金分配有测算依据，与地方实际相适应。</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项目的过程情况</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在资金管理方面，项目资金到位足额及时，及时支付，资金使用符合国家法规和财务管理制度；资金拨付手续</w:t>
      </w:r>
      <w:r>
        <w:rPr>
          <w:rFonts w:hint="eastAsia" w:ascii="仿宋_GB2312" w:hAnsi="仿宋" w:cs="宋体"/>
          <w:sz w:val="32"/>
          <w:szCs w:val="32"/>
          <w:lang w:val="en-US" w:eastAsia="zh-CN" w:bidi="ar"/>
        </w:rPr>
        <w:t>不够完善</w:t>
      </w:r>
      <w:r>
        <w:rPr>
          <w:rFonts w:hint="eastAsia" w:ascii="仿宋_GB2312" w:hAnsi="仿宋" w:cs="宋体"/>
          <w:sz w:val="32"/>
          <w:szCs w:val="32"/>
          <w:lang w:bidi="ar"/>
        </w:rPr>
        <w:t>，符合项目预算批复规定的用途；不存在截留、挤占、挪用、虚列支出等情况。</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在项目组织实施方面，项目单位具有相应的财务和业务管理制度，财务和业务管理制度合法、合规、完整</w:t>
      </w:r>
      <w:r>
        <w:rPr>
          <w:rFonts w:hint="eastAsia" w:ascii="仿宋_GB2312" w:hAnsi="仿宋" w:cs="宋体"/>
          <w:sz w:val="32"/>
          <w:szCs w:val="32"/>
          <w:lang w:val="en-US" w:eastAsia="zh-CN" w:bidi="ar"/>
        </w:rPr>
        <w:t>但是缺乏一定的科学性</w:t>
      </w:r>
      <w:r>
        <w:rPr>
          <w:rFonts w:hint="eastAsia" w:ascii="仿宋_GB2312" w:hAnsi="仿宋" w:cs="宋体"/>
          <w:sz w:val="32"/>
          <w:szCs w:val="32"/>
          <w:lang w:bidi="ar"/>
        </w:rPr>
        <w:t>。</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项目支出手续完备，项目管理归档资料不全、无验收报告</w:t>
      </w:r>
      <w:r>
        <w:rPr>
          <w:rFonts w:hint="eastAsia" w:ascii="仿宋_GB2312" w:hAnsi="仿宋" w:cs="宋体"/>
          <w:sz w:val="32"/>
          <w:szCs w:val="32"/>
          <w:lang w:eastAsia="zh-CN" w:bidi="ar"/>
        </w:rPr>
        <w:t>。</w:t>
      </w:r>
      <w:r>
        <w:rPr>
          <w:rFonts w:hint="eastAsia" w:ascii="仿宋_GB2312" w:hAnsi="仿宋" w:cs="宋体"/>
          <w:sz w:val="32"/>
          <w:szCs w:val="32"/>
          <w:lang w:bidi="ar"/>
        </w:rPr>
        <w:t>项目实施的人员条件、场地设备、信息支撑等落实到位。</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项目产出情况</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项目产出数量为维护强震台数量，预期指标值27</w:t>
      </w:r>
      <w:r>
        <w:rPr>
          <w:rFonts w:hint="eastAsia" w:ascii="仿宋_GB2312" w:hAnsi="仿宋" w:cs="宋体"/>
          <w:sz w:val="32"/>
          <w:szCs w:val="32"/>
          <w:lang w:val="en-US" w:eastAsia="zh-CN" w:bidi="ar"/>
        </w:rPr>
        <w:t>个</w:t>
      </w:r>
      <w:r>
        <w:rPr>
          <w:rFonts w:hint="eastAsia" w:ascii="仿宋_GB2312" w:hAnsi="仿宋" w:cs="宋体"/>
          <w:sz w:val="32"/>
          <w:szCs w:val="32"/>
          <w:lang w:bidi="ar"/>
        </w:rPr>
        <w:t>，实际完成值是27</w:t>
      </w:r>
      <w:r>
        <w:rPr>
          <w:rFonts w:hint="eastAsia" w:ascii="仿宋_GB2312" w:hAnsi="仿宋" w:cs="宋体"/>
          <w:sz w:val="32"/>
          <w:szCs w:val="32"/>
          <w:lang w:val="en-US" w:eastAsia="zh-CN" w:bidi="ar"/>
        </w:rPr>
        <w:t>个</w:t>
      </w:r>
      <w:r>
        <w:rPr>
          <w:rFonts w:hint="eastAsia" w:ascii="仿宋_GB2312" w:hAnsi="仿宋" w:cs="宋体"/>
          <w:sz w:val="32"/>
          <w:szCs w:val="32"/>
          <w:lang w:bidi="ar"/>
        </w:rPr>
        <w:t>，指标完成率100%，达到预期目标；</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维护遥测台数量</w:t>
      </w:r>
      <w:r>
        <w:rPr>
          <w:rFonts w:hint="eastAsia" w:ascii="仿宋_GB2312" w:hAnsi="仿宋" w:cs="宋体"/>
          <w:sz w:val="32"/>
          <w:szCs w:val="32"/>
          <w:lang w:val="en-US" w:eastAsia="zh-CN" w:bidi="ar"/>
        </w:rPr>
        <w:t>9个</w:t>
      </w:r>
      <w:r>
        <w:rPr>
          <w:rFonts w:hint="eastAsia" w:ascii="仿宋_GB2312" w:hAnsi="仿宋" w:cs="宋体"/>
          <w:sz w:val="32"/>
          <w:szCs w:val="32"/>
          <w:lang w:bidi="ar"/>
        </w:rPr>
        <w:t>，实际完成值是</w:t>
      </w:r>
      <w:r>
        <w:rPr>
          <w:rFonts w:hint="eastAsia" w:ascii="仿宋_GB2312" w:hAnsi="仿宋" w:cs="宋体"/>
          <w:sz w:val="32"/>
          <w:szCs w:val="32"/>
          <w:lang w:val="en-US" w:eastAsia="zh-CN" w:bidi="ar"/>
        </w:rPr>
        <w:t>9个</w:t>
      </w:r>
      <w:r>
        <w:rPr>
          <w:rFonts w:hint="eastAsia" w:ascii="仿宋_GB2312" w:hAnsi="仿宋" w:cs="宋体"/>
          <w:sz w:val="32"/>
          <w:szCs w:val="32"/>
          <w:lang w:bidi="ar"/>
        </w:rPr>
        <w:t>，指标完成率100%，达到预期目标；</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项目产出质量为每个台站运行月份数量，预期指标值</w:t>
      </w:r>
      <w:r>
        <w:rPr>
          <w:rFonts w:hint="eastAsia" w:ascii="仿宋_GB2312" w:hAnsi="仿宋" w:cs="宋体"/>
          <w:sz w:val="32"/>
          <w:szCs w:val="32"/>
          <w:lang w:val="en-US" w:eastAsia="zh-CN" w:bidi="ar"/>
        </w:rPr>
        <w:t>11个月</w:t>
      </w:r>
      <w:r>
        <w:rPr>
          <w:rFonts w:hint="eastAsia" w:ascii="仿宋_GB2312" w:hAnsi="仿宋" w:cs="宋体"/>
          <w:sz w:val="32"/>
          <w:szCs w:val="32"/>
          <w:lang w:bidi="ar"/>
        </w:rPr>
        <w:t>，实际完成值是10个月，指标完成率</w:t>
      </w:r>
      <w:r>
        <w:rPr>
          <w:rFonts w:hint="eastAsia" w:ascii="仿宋_GB2312" w:hAnsi="仿宋" w:cs="宋体"/>
          <w:sz w:val="32"/>
          <w:szCs w:val="32"/>
          <w:lang w:val="en-US" w:eastAsia="zh-CN" w:bidi="ar"/>
        </w:rPr>
        <w:t>90.91</w:t>
      </w:r>
      <w:r>
        <w:rPr>
          <w:rFonts w:hint="eastAsia" w:ascii="仿宋_GB2312" w:hAnsi="仿宋" w:cs="宋体"/>
          <w:sz w:val="32"/>
          <w:szCs w:val="32"/>
          <w:lang w:bidi="ar"/>
        </w:rPr>
        <w:t>%，</w:t>
      </w:r>
      <w:r>
        <w:rPr>
          <w:rFonts w:hint="eastAsia" w:ascii="仿宋_GB2312" w:hAnsi="仿宋" w:cs="宋体"/>
          <w:sz w:val="32"/>
          <w:szCs w:val="32"/>
          <w:lang w:val="en-US" w:eastAsia="zh-CN" w:bidi="ar"/>
        </w:rPr>
        <w:t>未完成原因是：人员抽调，导致维护不及时，时效超时</w:t>
      </w:r>
      <w:r>
        <w:rPr>
          <w:rFonts w:hint="eastAsia" w:ascii="仿宋_GB2312" w:hAnsi="仿宋" w:cs="宋体"/>
          <w:sz w:val="32"/>
          <w:szCs w:val="32"/>
          <w:lang w:bidi="ar"/>
        </w:rPr>
        <w:t>；</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项目产出时效</w:t>
      </w:r>
      <w:r>
        <w:rPr>
          <w:rFonts w:hint="eastAsia" w:ascii="仿宋_GB2312" w:hAnsi="仿宋" w:cs="宋体"/>
          <w:sz w:val="32"/>
          <w:szCs w:val="32"/>
          <w:lang w:val="en-US" w:eastAsia="zh-CN" w:bidi="ar"/>
        </w:rPr>
        <w:t>为台站仪器故障维护时限，</w:t>
      </w:r>
      <w:r>
        <w:rPr>
          <w:rFonts w:hint="eastAsia" w:ascii="仿宋_GB2312" w:hAnsi="仿宋" w:cs="宋体"/>
          <w:sz w:val="32"/>
          <w:szCs w:val="32"/>
          <w:lang w:bidi="ar"/>
        </w:rPr>
        <w:t>预期指标值</w:t>
      </w:r>
      <w:r>
        <w:rPr>
          <w:rFonts w:hint="eastAsia" w:ascii="仿宋_GB2312" w:hAnsi="仿宋" w:cs="宋体"/>
          <w:sz w:val="32"/>
          <w:szCs w:val="32"/>
          <w:lang w:val="en-US" w:eastAsia="zh-CN" w:bidi="ar"/>
        </w:rPr>
        <w:t>小于等于7日</w:t>
      </w:r>
      <w:r>
        <w:rPr>
          <w:rFonts w:hint="eastAsia" w:ascii="仿宋_GB2312" w:hAnsi="仿宋" w:cs="宋体"/>
          <w:sz w:val="32"/>
          <w:szCs w:val="32"/>
          <w:lang w:bidi="ar"/>
        </w:rPr>
        <w:t>，实际完成值是</w:t>
      </w:r>
      <w:r>
        <w:rPr>
          <w:rFonts w:hint="eastAsia" w:ascii="仿宋_GB2312" w:hAnsi="仿宋" w:cs="宋体"/>
          <w:sz w:val="32"/>
          <w:szCs w:val="32"/>
          <w:lang w:val="en-US" w:eastAsia="zh-CN" w:bidi="ar"/>
        </w:rPr>
        <w:t>8日</w:t>
      </w:r>
      <w:r>
        <w:rPr>
          <w:rFonts w:hint="eastAsia" w:ascii="仿宋_GB2312" w:hAnsi="仿宋" w:cs="宋体"/>
          <w:sz w:val="32"/>
          <w:szCs w:val="32"/>
          <w:lang w:bidi="ar"/>
        </w:rPr>
        <w:t>，指标完成率</w:t>
      </w:r>
      <w:r>
        <w:rPr>
          <w:rFonts w:hint="eastAsia" w:ascii="仿宋_GB2312" w:hAnsi="仿宋" w:cs="宋体"/>
          <w:sz w:val="32"/>
          <w:szCs w:val="32"/>
          <w:lang w:val="en-US" w:eastAsia="zh-CN" w:bidi="ar"/>
        </w:rPr>
        <w:t>87.5</w:t>
      </w:r>
      <w:r>
        <w:rPr>
          <w:rFonts w:hint="eastAsia" w:ascii="仿宋_GB2312" w:hAnsi="仿宋" w:cs="宋体"/>
          <w:sz w:val="32"/>
          <w:szCs w:val="32"/>
          <w:lang w:bidi="ar"/>
        </w:rPr>
        <w:t>%，</w:t>
      </w:r>
      <w:r>
        <w:rPr>
          <w:rFonts w:hint="eastAsia" w:ascii="仿宋_GB2312" w:hAnsi="仿宋" w:cs="宋体"/>
          <w:sz w:val="32"/>
          <w:szCs w:val="32"/>
          <w:lang w:val="en-US" w:eastAsia="zh-CN" w:bidi="ar"/>
        </w:rPr>
        <w:t>未完成原因是：人员抽调，导致维护不及时，时效超时</w:t>
      </w:r>
      <w:r>
        <w:rPr>
          <w:rFonts w:hint="eastAsia" w:ascii="仿宋_GB2312" w:hAnsi="仿宋" w:cs="宋体"/>
          <w:sz w:val="32"/>
          <w:szCs w:val="32"/>
          <w:lang w:bidi="ar"/>
        </w:rPr>
        <w:t>；</w:t>
      </w:r>
    </w:p>
    <w:p>
      <w:pPr>
        <w:pStyle w:val="26"/>
        <w:ind w:firstLine="640"/>
        <w:rPr>
          <w:rFonts w:hint="eastAsia" w:ascii="仿宋_GB2312" w:hAnsi="仿宋" w:cs="宋体"/>
          <w:sz w:val="32"/>
          <w:szCs w:val="32"/>
          <w:lang w:val="en-US" w:eastAsia="zh-CN" w:bidi="ar"/>
        </w:rPr>
      </w:pPr>
      <w:r>
        <w:rPr>
          <w:rFonts w:hint="eastAsia" w:ascii="仿宋_GB2312" w:hAnsi="仿宋" w:cs="宋体"/>
          <w:sz w:val="32"/>
          <w:szCs w:val="32"/>
          <w:lang w:val="en-US" w:eastAsia="zh-CN" w:bidi="ar"/>
        </w:rPr>
        <w:t>台站供电故障维护时限，</w:t>
      </w:r>
      <w:r>
        <w:rPr>
          <w:rFonts w:hint="eastAsia" w:ascii="仿宋_GB2312" w:hAnsi="仿宋" w:cs="宋体"/>
          <w:sz w:val="32"/>
          <w:szCs w:val="32"/>
          <w:lang w:bidi="ar"/>
        </w:rPr>
        <w:t>预期指标值</w:t>
      </w:r>
      <w:r>
        <w:rPr>
          <w:rFonts w:hint="eastAsia" w:ascii="仿宋_GB2312" w:hAnsi="仿宋" w:cs="宋体"/>
          <w:sz w:val="32"/>
          <w:szCs w:val="32"/>
          <w:lang w:val="en-US" w:eastAsia="zh-CN" w:bidi="ar"/>
        </w:rPr>
        <w:t>小于等于3日</w:t>
      </w:r>
      <w:r>
        <w:rPr>
          <w:rFonts w:hint="eastAsia" w:ascii="仿宋_GB2312" w:hAnsi="仿宋" w:cs="宋体"/>
          <w:sz w:val="32"/>
          <w:szCs w:val="32"/>
          <w:lang w:bidi="ar"/>
        </w:rPr>
        <w:t>，实际完成值是</w:t>
      </w:r>
      <w:r>
        <w:rPr>
          <w:rFonts w:hint="eastAsia" w:ascii="仿宋_GB2312" w:hAnsi="仿宋" w:cs="宋体"/>
          <w:sz w:val="32"/>
          <w:szCs w:val="32"/>
          <w:lang w:val="en-US" w:eastAsia="zh-CN" w:bidi="ar"/>
        </w:rPr>
        <w:t>4日</w:t>
      </w:r>
      <w:r>
        <w:rPr>
          <w:rFonts w:hint="eastAsia" w:ascii="仿宋_GB2312" w:hAnsi="仿宋" w:cs="宋体"/>
          <w:sz w:val="32"/>
          <w:szCs w:val="32"/>
          <w:lang w:bidi="ar"/>
        </w:rPr>
        <w:t>，指标完成率</w:t>
      </w:r>
      <w:r>
        <w:rPr>
          <w:rFonts w:hint="eastAsia" w:ascii="仿宋_GB2312" w:hAnsi="仿宋" w:cs="宋体"/>
          <w:sz w:val="32"/>
          <w:szCs w:val="32"/>
          <w:lang w:val="en-US" w:eastAsia="zh-CN" w:bidi="ar"/>
        </w:rPr>
        <w:t>87.5</w:t>
      </w:r>
      <w:r>
        <w:rPr>
          <w:rFonts w:hint="eastAsia" w:ascii="仿宋_GB2312" w:hAnsi="仿宋" w:cs="宋体"/>
          <w:sz w:val="32"/>
          <w:szCs w:val="32"/>
          <w:lang w:bidi="ar"/>
        </w:rPr>
        <w:t>%，</w:t>
      </w:r>
      <w:r>
        <w:rPr>
          <w:rFonts w:hint="eastAsia" w:ascii="仿宋_GB2312" w:hAnsi="仿宋" w:cs="宋体"/>
          <w:sz w:val="32"/>
          <w:szCs w:val="32"/>
          <w:lang w:val="en-US" w:eastAsia="zh-CN" w:bidi="ar"/>
        </w:rPr>
        <w:t>未完成原因是：12月份未在规定时限内完成台站供电设备更换</w:t>
      </w:r>
      <w:r>
        <w:rPr>
          <w:rFonts w:hint="eastAsia" w:ascii="仿宋_GB2312" w:hAnsi="仿宋" w:cs="宋体"/>
          <w:sz w:val="32"/>
          <w:szCs w:val="32"/>
          <w:lang w:bidi="ar"/>
        </w:rPr>
        <w:t>；</w:t>
      </w:r>
    </w:p>
    <w:p>
      <w:pPr>
        <w:pStyle w:val="26"/>
        <w:ind w:firstLine="640"/>
        <w:rPr>
          <w:rFonts w:hint="eastAsia" w:ascii="仿宋" w:hAnsi="仿宋" w:eastAsia="仿宋"/>
          <w:color w:val="000000" w:themeColor="text1"/>
          <w:sz w:val="32"/>
          <w:szCs w:val="32"/>
          <w:lang w:val="en-US" w:eastAsia="zh-CN"/>
          <w14:textFill>
            <w14:solidFill>
              <w14:schemeClr w14:val="tx1"/>
            </w14:solidFill>
          </w14:textFill>
        </w:rPr>
      </w:pPr>
      <w:r>
        <w:rPr>
          <w:rFonts w:hint="eastAsia" w:ascii="仿宋_GB2312" w:hAnsi="仿宋" w:cs="宋体"/>
          <w:sz w:val="32"/>
          <w:szCs w:val="32"/>
          <w:lang w:bidi="ar"/>
        </w:rPr>
        <w:t>项目产出</w:t>
      </w:r>
      <w:r>
        <w:rPr>
          <w:rFonts w:hint="eastAsia" w:ascii="仿宋_GB2312" w:hAnsi="仿宋" w:cs="宋体"/>
          <w:sz w:val="32"/>
          <w:szCs w:val="32"/>
          <w:lang w:val="en-US" w:eastAsia="zh-CN" w:bidi="ar"/>
        </w:rPr>
        <w:t>成本为台站运行成本，</w:t>
      </w:r>
      <w:r>
        <w:rPr>
          <w:rFonts w:hint="eastAsia" w:ascii="仿宋_GB2312" w:hAnsi="仿宋" w:cs="宋体"/>
          <w:sz w:val="32"/>
          <w:szCs w:val="32"/>
          <w:lang w:bidi="ar"/>
        </w:rPr>
        <w:t>预期指标值3.6</w:t>
      </w:r>
      <w:r>
        <w:rPr>
          <w:rFonts w:hint="eastAsia" w:ascii="仿宋_GB2312" w:hAnsi="仿宋" w:cs="宋体"/>
          <w:sz w:val="32"/>
          <w:szCs w:val="32"/>
          <w:lang w:val="en-US" w:eastAsia="zh-CN" w:bidi="ar"/>
        </w:rPr>
        <w:t>万元</w:t>
      </w:r>
      <w:r>
        <w:rPr>
          <w:rFonts w:hint="eastAsia" w:ascii="仿宋_GB2312" w:hAnsi="仿宋" w:cs="宋体"/>
          <w:sz w:val="32"/>
          <w:szCs w:val="32"/>
          <w:lang w:bidi="ar"/>
        </w:rPr>
        <w:t>，实际完成值是3.6</w:t>
      </w:r>
      <w:r>
        <w:rPr>
          <w:rFonts w:hint="eastAsia" w:ascii="仿宋_GB2312" w:hAnsi="仿宋" w:cs="宋体"/>
          <w:sz w:val="32"/>
          <w:szCs w:val="32"/>
          <w:lang w:val="en-US" w:eastAsia="zh-CN" w:bidi="ar"/>
        </w:rPr>
        <w:t>万元</w:t>
      </w:r>
      <w:r>
        <w:rPr>
          <w:rFonts w:hint="eastAsia" w:ascii="仿宋_GB2312" w:hAnsi="仿宋" w:cs="宋体"/>
          <w:sz w:val="32"/>
          <w:szCs w:val="32"/>
          <w:lang w:bidi="ar"/>
        </w:rPr>
        <w:t>，指标完成率100%，达到预期目标；</w:t>
      </w:r>
    </w:p>
    <w:p>
      <w:pPr>
        <w:pStyle w:val="17"/>
        <w:numPr>
          <w:ilvl w:val="0"/>
          <w:numId w:val="6"/>
        </w:numPr>
        <w:spacing w:before="120" w:beforeLines="50" w:line="600" w:lineRule="exact"/>
        <w:ind w:left="0" w:firstLine="643"/>
        <w:rPr>
          <w:rFonts w:ascii="仿宋_GB2312" w:hAnsi="仿宋" w:eastAsia="仿宋_GB2312" w:cs="宋体"/>
          <w:b/>
          <w:bCs/>
          <w:sz w:val="32"/>
          <w:szCs w:val="32"/>
          <w:lang w:bidi="ar"/>
        </w:rPr>
      </w:pPr>
      <w:r>
        <w:rPr>
          <w:rFonts w:hint="eastAsia" w:ascii="仿宋_GB2312" w:hAnsi="仿宋" w:eastAsia="仿宋_GB2312" w:cs="宋体"/>
          <w:b/>
          <w:bCs/>
          <w:sz w:val="32"/>
          <w:szCs w:val="32"/>
          <w:lang w:bidi="ar"/>
        </w:rPr>
        <w:t>项目效益情况</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项目实施产生的经济效益指标为无。</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项目实施产生的社会效益指标提高强震台为破坏性地震烈度评估提供参考数据准确性，预期指标值</w:t>
      </w:r>
      <w:r>
        <w:rPr>
          <w:rFonts w:hint="eastAsia" w:ascii="仿宋_GB2312" w:hAnsi="仿宋" w:cs="宋体"/>
          <w:sz w:val="32"/>
          <w:szCs w:val="32"/>
          <w:lang w:val="en-US" w:eastAsia="zh-CN" w:bidi="ar"/>
        </w:rPr>
        <w:t>不断提升</w:t>
      </w:r>
      <w:r>
        <w:rPr>
          <w:rFonts w:hint="eastAsia" w:ascii="仿宋_GB2312" w:hAnsi="仿宋" w:cs="宋体"/>
          <w:sz w:val="32"/>
          <w:szCs w:val="32"/>
          <w:lang w:bidi="ar"/>
        </w:rPr>
        <w:t>，实际完成值是</w:t>
      </w:r>
      <w:r>
        <w:rPr>
          <w:rFonts w:hint="eastAsia" w:ascii="仿宋_GB2312" w:hAnsi="仿宋" w:cs="宋体"/>
          <w:sz w:val="32"/>
          <w:szCs w:val="32"/>
          <w:lang w:val="en-US" w:eastAsia="zh-CN" w:bidi="ar"/>
        </w:rPr>
        <w:t>9</w:t>
      </w:r>
      <w:r>
        <w:rPr>
          <w:rFonts w:hint="eastAsia" w:ascii="仿宋_GB2312" w:hAnsi="仿宋" w:cs="宋体"/>
          <w:sz w:val="32"/>
          <w:szCs w:val="32"/>
          <w:lang w:bidi="ar"/>
        </w:rPr>
        <w:t>0%，指标完成率</w:t>
      </w:r>
      <w:r>
        <w:rPr>
          <w:rFonts w:hint="eastAsia" w:ascii="仿宋_GB2312" w:hAnsi="仿宋" w:cs="宋体"/>
          <w:sz w:val="32"/>
          <w:szCs w:val="32"/>
          <w:lang w:val="en-US" w:eastAsia="zh-CN" w:bidi="ar"/>
        </w:rPr>
        <w:t>9</w:t>
      </w:r>
      <w:r>
        <w:rPr>
          <w:rFonts w:hint="eastAsia" w:ascii="仿宋_GB2312" w:hAnsi="仿宋" w:cs="宋体"/>
          <w:sz w:val="32"/>
          <w:szCs w:val="32"/>
          <w:lang w:bidi="ar"/>
        </w:rPr>
        <w:t>0%，达到预期目标；</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项目实施产生的生态效益指标为无。</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项目的可持续效益效益指标为地震区域监测提供，预期指标值</w:t>
      </w:r>
      <w:r>
        <w:rPr>
          <w:rFonts w:hint="eastAsia" w:ascii="仿宋_GB2312" w:hAnsi="仿宋" w:cs="宋体"/>
          <w:sz w:val="32"/>
          <w:szCs w:val="32"/>
          <w:lang w:val="en-US" w:eastAsia="zh-CN" w:bidi="ar"/>
        </w:rPr>
        <w:t>长期</w:t>
      </w:r>
      <w:r>
        <w:rPr>
          <w:rFonts w:hint="eastAsia" w:ascii="仿宋_GB2312" w:hAnsi="仿宋" w:cs="宋体"/>
          <w:sz w:val="32"/>
          <w:szCs w:val="32"/>
          <w:lang w:bidi="ar"/>
        </w:rPr>
        <w:t>，实际完成值是1年，指标完成率</w:t>
      </w:r>
      <w:r>
        <w:rPr>
          <w:rFonts w:hint="eastAsia" w:ascii="仿宋_GB2312" w:hAnsi="仿宋" w:cs="宋体"/>
          <w:sz w:val="32"/>
          <w:szCs w:val="32"/>
          <w:lang w:val="en-US" w:eastAsia="zh-CN" w:bidi="ar"/>
        </w:rPr>
        <w:t>85</w:t>
      </w:r>
      <w:r>
        <w:rPr>
          <w:rFonts w:hint="eastAsia" w:ascii="仿宋_GB2312" w:hAnsi="仿宋" w:cs="宋体"/>
          <w:sz w:val="32"/>
          <w:szCs w:val="32"/>
          <w:lang w:bidi="ar"/>
        </w:rPr>
        <w:t>%，达到预期目标；</w:t>
      </w:r>
    </w:p>
    <w:p>
      <w:pPr>
        <w:pStyle w:val="26"/>
        <w:ind w:firstLine="640"/>
        <w:rPr>
          <w:rFonts w:hint="eastAsia" w:ascii="仿宋_GB2312" w:hAnsi="仿宋" w:cs="宋体"/>
          <w:sz w:val="32"/>
          <w:szCs w:val="32"/>
          <w:lang w:bidi="ar"/>
        </w:rPr>
      </w:pPr>
      <w:r>
        <w:rPr>
          <w:rFonts w:hint="eastAsia" w:ascii="仿宋_GB2312" w:hAnsi="仿宋" w:cs="宋体"/>
          <w:sz w:val="32"/>
          <w:szCs w:val="32"/>
          <w:lang w:bidi="ar"/>
        </w:rPr>
        <w:t>按计划完成项目实施，已做满意度调查问卷，具体如下：调查人数</w:t>
      </w:r>
      <w:r>
        <w:rPr>
          <w:rFonts w:hint="eastAsia" w:ascii="仿宋_GB2312" w:hAnsi="仿宋" w:cs="宋体"/>
          <w:sz w:val="32"/>
          <w:szCs w:val="32"/>
          <w:lang w:val="en-US" w:eastAsia="zh-CN" w:bidi="ar"/>
        </w:rPr>
        <w:t>50</w:t>
      </w:r>
      <w:r>
        <w:rPr>
          <w:rFonts w:hint="eastAsia" w:ascii="仿宋_GB2312" w:hAnsi="仿宋" w:cs="宋体"/>
          <w:sz w:val="32"/>
          <w:szCs w:val="32"/>
          <w:lang w:bidi="ar"/>
        </w:rPr>
        <w:t>人，其中满意</w:t>
      </w:r>
      <w:r>
        <w:rPr>
          <w:rFonts w:hint="eastAsia" w:ascii="仿宋_GB2312" w:hAnsi="仿宋" w:cs="宋体"/>
          <w:sz w:val="32"/>
          <w:szCs w:val="32"/>
          <w:lang w:val="en-US" w:eastAsia="zh-CN" w:bidi="ar"/>
        </w:rPr>
        <w:t>50</w:t>
      </w:r>
      <w:r>
        <w:rPr>
          <w:rFonts w:hint="eastAsia" w:ascii="仿宋_GB2312" w:hAnsi="仿宋" w:cs="宋体"/>
          <w:sz w:val="32"/>
          <w:szCs w:val="32"/>
          <w:lang w:bidi="ar"/>
        </w:rPr>
        <w:t>人，不满意0人</w:t>
      </w:r>
      <w:r>
        <w:rPr>
          <w:rFonts w:hint="eastAsia" w:ascii="仿宋_GB2312" w:hAnsi="仿宋" w:cs="宋体"/>
          <w:sz w:val="32"/>
          <w:szCs w:val="32"/>
          <w:lang w:eastAsia="zh-CN" w:bidi="ar"/>
        </w:rPr>
        <w:t>，</w:t>
      </w:r>
      <w:r>
        <w:rPr>
          <w:rFonts w:hint="eastAsia" w:ascii="仿宋_GB2312" w:hAnsi="仿宋" w:cs="宋体"/>
          <w:sz w:val="32"/>
          <w:szCs w:val="32"/>
          <w:lang w:val="en-US" w:eastAsia="zh-CN" w:bidi="ar"/>
        </w:rPr>
        <w:t>广大市民</w:t>
      </w:r>
      <w:r>
        <w:rPr>
          <w:rFonts w:hint="eastAsia" w:ascii="仿宋_GB2312" w:hAnsi="仿宋" w:cs="宋体"/>
          <w:sz w:val="32"/>
          <w:szCs w:val="32"/>
          <w:lang w:bidi="ar"/>
        </w:rPr>
        <w:t>满意率达100%，满意度指标完成。</w:t>
      </w:r>
    </w:p>
    <w:p>
      <w:pPr>
        <w:pStyle w:val="17"/>
        <w:numPr>
          <w:ilvl w:val="0"/>
          <w:numId w:val="0"/>
        </w:numPr>
        <w:spacing w:before="120" w:beforeLines="50" w:line="600" w:lineRule="exact"/>
        <w:ind w:leftChars="200"/>
        <w:rPr>
          <w:rFonts w:hint="eastAsia" w:ascii="黑体" w:hAnsi="黑体" w:eastAsia="黑体" w:cs="黑体"/>
          <w:b/>
          <w:bCs/>
          <w:sz w:val="32"/>
          <w:szCs w:val="32"/>
          <w:lang w:bidi="ar"/>
        </w:rPr>
      </w:pPr>
      <w:r>
        <w:rPr>
          <w:rFonts w:hint="eastAsia" w:ascii="黑体" w:hAnsi="黑体" w:eastAsia="黑体" w:cs="黑体"/>
          <w:b/>
          <w:bCs/>
          <w:sz w:val="32"/>
          <w:szCs w:val="32"/>
          <w:lang w:val="en-US" w:eastAsia="zh-CN" w:bidi="ar"/>
        </w:rPr>
        <w:t>五、</w:t>
      </w:r>
      <w:r>
        <w:rPr>
          <w:rFonts w:hint="eastAsia" w:ascii="黑体" w:hAnsi="黑体" w:eastAsia="黑体" w:cs="黑体"/>
          <w:b/>
          <w:bCs/>
          <w:sz w:val="32"/>
          <w:szCs w:val="32"/>
          <w:lang w:bidi="ar"/>
        </w:rPr>
        <w:t>主要经验及做法、存在的问题及原因分析</w:t>
      </w:r>
    </w:p>
    <w:p>
      <w:pPr>
        <w:pStyle w:val="17"/>
        <w:numPr>
          <w:ilvl w:val="0"/>
          <w:numId w:val="0"/>
        </w:numPr>
        <w:spacing w:before="120" w:beforeLines="50" w:line="600" w:lineRule="exact"/>
        <w:ind w:leftChars="200"/>
        <w:rPr>
          <w:rFonts w:hint="eastAsia" w:ascii="仿宋_GB2312" w:hAnsi="仿宋" w:eastAsia="仿宋_GB2312" w:cs="宋体"/>
          <w:b/>
          <w:bCs/>
          <w:sz w:val="32"/>
          <w:szCs w:val="32"/>
          <w:lang w:bidi="ar"/>
        </w:rPr>
      </w:pP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val="en-US" w:eastAsia="zh-CN" w:bidi="ar"/>
        </w:rPr>
        <w:t>一</w:t>
      </w:r>
      <w:r>
        <w:rPr>
          <w:rFonts w:hint="eastAsia" w:ascii="仿宋_GB2312" w:hAnsi="仿宋" w:eastAsia="仿宋_GB2312" w:cs="宋体"/>
          <w:b/>
          <w:bCs/>
          <w:sz w:val="32"/>
          <w:szCs w:val="32"/>
          <w:lang w:eastAsia="zh-CN" w:bidi="ar"/>
        </w:rPr>
        <w:t>）</w:t>
      </w:r>
      <w:r>
        <w:rPr>
          <w:rFonts w:hint="eastAsia" w:ascii="仿宋_GB2312" w:hAnsi="仿宋" w:eastAsia="仿宋_GB2312" w:cs="宋体"/>
          <w:b/>
          <w:bCs/>
          <w:sz w:val="32"/>
          <w:szCs w:val="32"/>
          <w:lang w:bidi="ar"/>
        </w:rPr>
        <w:t>主要经验及做法</w:t>
      </w:r>
    </w:p>
    <w:p>
      <w:pPr>
        <w:pStyle w:val="23"/>
        <w:numPr>
          <w:ilvl w:val="0"/>
          <w:numId w:val="0"/>
        </w:numPr>
        <w:ind w:firstLine="640" w:firstLineChars="200"/>
        <w:rPr>
          <w:b w:val="0"/>
          <w:lang w:bidi="ar"/>
        </w:rPr>
      </w:pPr>
      <w:r>
        <w:rPr>
          <w:rFonts w:hint="eastAsia"/>
          <w:b w:val="0"/>
          <w:lang w:bidi="ar"/>
        </w:rPr>
        <w:t>本项目通过绩效目标评价管理，总结了工作中的较好的经验。项目实施过程中，</w:t>
      </w:r>
      <w:r>
        <w:rPr>
          <w:rFonts w:hint="eastAsia"/>
          <w:b w:val="0"/>
          <w:lang w:eastAsia="zh-CN" w:bidi="ar"/>
        </w:rPr>
        <w:t>喀什地区地震局</w:t>
      </w:r>
      <w:r>
        <w:rPr>
          <w:rFonts w:hint="eastAsia"/>
          <w:b w:val="0"/>
          <w:lang w:bidi="ar"/>
        </w:rPr>
        <w:t>根据相关实施方案等要求保障了项目的顺利实施。项目的实施遵守相关法律法规和业务管理规定，项目资料齐</w:t>
      </w:r>
      <w:r>
        <w:rPr>
          <w:rFonts w:hint="eastAsia"/>
          <w:b w:val="0"/>
          <w:lang w:val="en-US" w:eastAsia="zh-CN" w:bidi="ar"/>
        </w:rPr>
        <w:t>能够</w:t>
      </w:r>
      <w:r>
        <w:rPr>
          <w:rFonts w:hint="eastAsia"/>
          <w:b w:val="0"/>
          <w:lang w:bidi="ar"/>
        </w:rPr>
        <w:t>及时归档</w:t>
      </w:r>
      <w:r>
        <w:rPr>
          <w:rFonts w:hint="eastAsia"/>
          <w:b w:val="0"/>
          <w:lang w:eastAsia="zh-CN" w:bidi="ar"/>
        </w:rPr>
        <w:t>，</w:t>
      </w:r>
      <w:r>
        <w:rPr>
          <w:rFonts w:hint="eastAsia"/>
          <w:b w:val="0"/>
          <w:lang w:val="en-US" w:eastAsia="zh-CN" w:bidi="ar"/>
        </w:rPr>
        <w:t>但是资料的完整性还需完善</w:t>
      </w:r>
      <w:r>
        <w:rPr>
          <w:rFonts w:hint="eastAsia"/>
          <w:b w:val="0"/>
          <w:lang w:bidi="ar"/>
        </w:rPr>
        <w:t>。建立了《</w:t>
      </w:r>
      <w:r>
        <w:rPr>
          <w:rFonts w:hint="eastAsia"/>
          <w:b w:val="0"/>
          <w:lang w:eastAsia="zh-CN" w:bidi="ar"/>
        </w:rPr>
        <w:t>喀什地区地震局</w:t>
      </w:r>
      <w:r>
        <w:rPr>
          <w:rFonts w:hint="eastAsia"/>
          <w:b w:val="0"/>
          <w:lang w:bidi="ar"/>
        </w:rPr>
        <w:t>项目日常监督检查机制》，不定期对项目进度情况进行督导检查，对检查过程中发现的问题及时督促整改，确保了项目按时保质完成；资金的拨付</w:t>
      </w:r>
      <w:r>
        <w:rPr>
          <w:rFonts w:hint="eastAsia"/>
          <w:b w:val="0"/>
          <w:lang w:val="en-US" w:eastAsia="zh-CN" w:bidi="ar"/>
        </w:rPr>
        <w:t>需要完善</w:t>
      </w:r>
      <w:r>
        <w:rPr>
          <w:rFonts w:hint="eastAsia"/>
          <w:b w:val="0"/>
          <w:lang w:bidi="ar"/>
        </w:rPr>
        <w:t>审批程序和手续，不存在截留、挤占、挪用等情况。</w:t>
      </w:r>
    </w:p>
    <w:p>
      <w:pPr>
        <w:pStyle w:val="23"/>
        <w:numPr>
          <w:ilvl w:val="0"/>
          <w:numId w:val="0"/>
        </w:numPr>
        <w:ind w:leftChars="200"/>
        <w:rPr>
          <w:lang w:bidi="ar"/>
        </w:rPr>
      </w:pPr>
      <w:r>
        <w:rPr>
          <w:rFonts w:hint="eastAsia"/>
          <w:lang w:eastAsia="zh-CN" w:bidi="ar"/>
        </w:rPr>
        <w:t>（</w:t>
      </w:r>
      <w:r>
        <w:rPr>
          <w:rFonts w:hint="eastAsia"/>
          <w:lang w:val="en-US" w:eastAsia="zh-CN" w:bidi="ar"/>
        </w:rPr>
        <w:t>二</w:t>
      </w:r>
      <w:r>
        <w:rPr>
          <w:rFonts w:hint="eastAsia"/>
          <w:lang w:eastAsia="zh-CN" w:bidi="ar"/>
        </w:rPr>
        <w:t>）</w:t>
      </w:r>
      <w:r>
        <w:rPr>
          <w:rFonts w:hint="eastAsia"/>
          <w:lang w:bidi="ar"/>
        </w:rPr>
        <w:t>存在的问题及原因分析</w:t>
      </w:r>
    </w:p>
    <w:p>
      <w:pPr>
        <w:spacing w:line="540" w:lineRule="exact"/>
        <w:rPr>
          <w:rFonts w:hint="default" w:ascii="仿宋" w:hAnsi="仿宋" w:eastAsia="仿宋"/>
          <w:color w:val="000000" w:themeColor="text1"/>
          <w:sz w:val="32"/>
          <w:szCs w:val="32"/>
          <w:lang w:val="en-US" w:eastAsia="zh-CN"/>
          <w14:textFill>
            <w14:solidFill>
              <w14:schemeClr w14:val="tx1"/>
            </w14:solidFill>
          </w14:textFill>
        </w:rPr>
      </w:pPr>
      <w:r>
        <w:rPr>
          <w:rFonts w:hint="eastAsia"/>
          <w:lang w:bidi="ar"/>
        </w:rPr>
        <w:t xml:space="preserve"> </w:t>
      </w:r>
      <w:r>
        <w:rPr>
          <w:lang w:bidi="ar"/>
        </w:rPr>
        <w:t xml:space="preserve"> </w:t>
      </w:r>
      <w:r>
        <w:rPr>
          <w:rFonts w:hint="eastAsia"/>
          <w:lang w:val="en-US" w:eastAsia="zh-CN" w:bidi="ar"/>
        </w:rPr>
        <w:t xml:space="preserve">  </w:t>
      </w:r>
      <w:r>
        <w:rPr>
          <w:rFonts w:hint="eastAsia" w:ascii="仿宋_GB2312" w:eastAsia="仿宋_GB2312"/>
          <w:spacing w:val="-4"/>
          <w:sz w:val="32"/>
          <w:szCs w:val="32"/>
        </w:rPr>
        <w:t>通过绩效评价管理，发现了工作的中的不足，如：</w:t>
      </w:r>
      <w:r>
        <w:rPr>
          <w:rFonts w:hint="eastAsia" w:ascii="仿宋" w:hAnsi="仿宋" w:eastAsia="仿宋"/>
          <w:color w:val="000000" w:themeColor="text1"/>
          <w:sz w:val="32"/>
          <w:szCs w:val="32"/>
          <w:lang w:val="en-US" w:eastAsia="zh-CN"/>
          <w14:textFill>
            <w14:solidFill>
              <w14:schemeClr w14:val="tx1"/>
            </w14:solidFill>
          </w14:textFill>
        </w:rPr>
        <w:t>人员的调动导致工作进度滞后。</w:t>
      </w:r>
    </w:p>
    <w:p>
      <w:pPr>
        <w:pStyle w:val="21"/>
        <w:numPr>
          <w:ilvl w:val="0"/>
          <w:numId w:val="2"/>
        </w:numPr>
        <w:ind w:firstLineChars="0"/>
        <w:rPr>
          <w:rFonts w:ascii="黑体" w:hAnsi="黑体"/>
        </w:rPr>
      </w:pPr>
      <w:r>
        <w:rPr>
          <w:rFonts w:hint="eastAsia" w:ascii="黑体" w:hAnsi="黑体"/>
        </w:rPr>
        <w:t>有关建议</w:t>
      </w:r>
    </w:p>
    <w:p>
      <w:pPr>
        <w:spacing w:line="540" w:lineRule="exact"/>
        <w:ind w:firstLine="624" w:firstLineChars="200"/>
        <w:rPr>
          <w:rFonts w:ascii="仿宋_GB2312" w:eastAsia="仿宋_GB2312"/>
          <w:spacing w:val="-4"/>
          <w:sz w:val="32"/>
          <w:szCs w:val="32"/>
        </w:rPr>
      </w:pPr>
      <w:r>
        <w:rPr>
          <w:rFonts w:hint="eastAsia" w:ascii="仿宋_GB2312" w:eastAsia="仿宋_GB2312"/>
          <w:spacing w:val="-4"/>
          <w:sz w:val="32"/>
          <w:szCs w:val="32"/>
        </w:rPr>
        <w:t>建议进一步完善项目实施进度和资金执行率的</w:t>
      </w:r>
      <w:r>
        <w:rPr>
          <w:rFonts w:hint="eastAsia" w:ascii="仿宋_GB2312" w:eastAsia="仿宋_GB2312"/>
          <w:spacing w:val="-4"/>
          <w:sz w:val="32"/>
          <w:szCs w:val="32"/>
          <w:lang w:eastAsia="zh-CN"/>
        </w:rPr>
        <w:t>检查</w:t>
      </w:r>
      <w:r>
        <w:rPr>
          <w:rFonts w:hint="eastAsia" w:ascii="仿宋_GB2312" w:eastAsia="仿宋_GB2312"/>
          <w:spacing w:val="-4"/>
          <w:sz w:val="32"/>
          <w:szCs w:val="32"/>
        </w:rPr>
        <w:t>方式，更加科学的体现绩效</w:t>
      </w:r>
      <w:r>
        <w:rPr>
          <w:rFonts w:hint="eastAsia" w:ascii="仿宋_GB2312" w:eastAsia="仿宋_GB2312"/>
          <w:spacing w:val="-4"/>
          <w:sz w:val="32"/>
          <w:szCs w:val="32"/>
          <w:lang w:eastAsia="zh-CN"/>
        </w:rPr>
        <w:t>检查</w:t>
      </w:r>
      <w:r>
        <w:rPr>
          <w:rFonts w:hint="eastAsia" w:ascii="仿宋_GB2312" w:eastAsia="仿宋_GB2312"/>
          <w:spacing w:val="-4"/>
          <w:sz w:val="32"/>
          <w:szCs w:val="32"/>
        </w:rPr>
        <w:t>的作用。</w:t>
      </w:r>
    </w:p>
    <w:p>
      <w:pPr>
        <w:ind w:firstLine="624" w:firstLineChars="200"/>
        <w:rPr>
          <w:rFonts w:ascii="仿宋" w:hAnsi="仿宋" w:eastAsia="仿宋"/>
          <w:color w:val="000000" w:themeColor="text1"/>
          <w:sz w:val="32"/>
          <w:szCs w:val="32"/>
          <w14:textFill>
            <w14:solidFill>
              <w14:schemeClr w14:val="tx1"/>
            </w14:solidFill>
          </w14:textFill>
        </w:rPr>
      </w:pPr>
      <w:r>
        <w:rPr>
          <w:rFonts w:hint="eastAsia" w:ascii="仿宋_GB2312" w:eastAsia="仿宋_GB2312"/>
          <w:spacing w:val="-4"/>
          <w:sz w:val="32"/>
          <w:szCs w:val="32"/>
        </w:rPr>
        <w:t>建议</w:t>
      </w:r>
      <w:r>
        <w:rPr>
          <w:rFonts w:hint="eastAsia" w:ascii="仿宋_GB2312" w:eastAsia="仿宋_GB2312"/>
          <w:spacing w:val="-4"/>
          <w:sz w:val="32"/>
          <w:szCs w:val="32"/>
          <w:lang w:val="en-US" w:eastAsia="zh-CN"/>
        </w:rPr>
        <w:t>提前规划安排工作</w:t>
      </w:r>
      <w:r>
        <w:rPr>
          <w:rFonts w:hint="eastAsia" w:ascii="仿宋" w:hAnsi="仿宋" w:eastAsia="仿宋"/>
          <w:color w:val="000000" w:themeColor="text1"/>
          <w:sz w:val="32"/>
          <w:szCs w:val="32"/>
          <w14:textFill>
            <w14:solidFill>
              <w14:schemeClr w14:val="tx1"/>
            </w14:solidFill>
          </w14:textFill>
        </w:rPr>
        <w:t>。</w:t>
      </w:r>
      <w:r>
        <w:rPr>
          <w:rFonts w:hint="eastAsia" w:ascii="仿宋_GB2312" w:eastAsia="仿宋_GB2312"/>
          <w:spacing w:val="-4"/>
          <w:sz w:val="32"/>
          <w:szCs w:val="32"/>
        </w:rPr>
        <w:t xml:space="preserve">    </w:t>
      </w:r>
    </w:p>
    <w:p>
      <w:pPr>
        <w:pStyle w:val="21"/>
        <w:numPr>
          <w:ilvl w:val="0"/>
          <w:numId w:val="2"/>
        </w:numPr>
        <w:ind w:firstLineChars="0"/>
        <w:rPr>
          <w:rFonts w:ascii="黑体" w:hAnsi="黑体"/>
        </w:rPr>
      </w:pPr>
      <w:r>
        <w:rPr>
          <w:rFonts w:hint="eastAsia" w:ascii="黑体" w:hAnsi="黑体"/>
        </w:rPr>
        <w:t>其他需要说明的问题</w:t>
      </w:r>
    </w:p>
    <w:p>
      <w:pPr>
        <w:pStyle w:val="21"/>
        <w:ind w:firstLine="640"/>
        <w:rPr>
          <w:rFonts w:hint="eastAsia" w:ascii="仿宋_GB2312" w:hAnsi="仿宋" w:eastAsia="仿宋_GB2312" w:cs="宋体"/>
          <w:lang w:bidi="ar"/>
        </w:rPr>
      </w:pPr>
      <w:r>
        <w:rPr>
          <w:rFonts w:hint="eastAsia" w:ascii="仿宋_GB2312" w:hAnsi="仿宋" w:eastAsia="仿宋_GB2312" w:cs="宋体"/>
          <w:b w:val="0"/>
          <w:kern w:val="2"/>
          <w:lang w:bidi="ar"/>
        </w:rPr>
        <w:t>无</w:t>
      </w:r>
    </w:p>
    <w:p>
      <w:pPr>
        <w:spacing w:before="120" w:beforeLines="50" w:line="600" w:lineRule="exact"/>
        <w:ind w:firstLine="640" w:firstLineChars="200"/>
        <w:rPr>
          <w:rFonts w:hint="eastAsia" w:ascii="仿宋_GB2312" w:hAnsi="仿宋" w:eastAsia="仿宋_GB2312" w:cs="宋体"/>
          <w:sz w:val="32"/>
          <w:szCs w:val="32"/>
          <w:lang w:bidi="ar"/>
        </w:rPr>
      </w:pPr>
      <w:r>
        <w:rPr>
          <w:rFonts w:hint="eastAsia" w:ascii="仿宋_GB2312" w:hAnsi="仿宋" w:eastAsia="仿宋_GB2312" w:cs="宋体"/>
          <w:sz w:val="32"/>
          <w:szCs w:val="32"/>
          <w:lang w:bidi="ar"/>
        </w:rPr>
        <w:t>附件1：</w:t>
      </w:r>
      <w:r>
        <w:rPr>
          <w:rFonts w:hint="eastAsia" w:ascii="仿宋_GB2312" w:hAnsi="仿宋" w:eastAsia="仿宋_GB2312" w:cs="宋体"/>
          <w:sz w:val="32"/>
          <w:szCs w:val="32"/>
          <w:lang w:eastAsia="zh-CN" w:bidi="ar"/>
        </w:rPr>
        <w:t>喀什地区地震局地震台站运行项目</w:t>
      </w:r>
      <w:r>
        <w:rPr>
          <w:rFonts w:hint="eastAsia" w:ascii="仿宋_GB2312" w:hAnsi="仿宋" w:eastAsia="仿宋_GB2312" w:cs="宋体"/>
          <w:sz w:val="32"/>
          <w:szCs w:val="32"/>
          <w:lang w:bidi="ar"/>
        </w:rPr>
        <w:t>支出绩效目标申报表</w:t>
      </w:r>
    </w:p>
    <w:p>
      <w:pPr>
        <w:spacing w:before="120" w:beforeLines="50" w:line="600" w:lineRule="exact"/>
        <w:ind w:firstLine="640" w:firstLineChars="200"/>
        <w:rPr>
          <w:rFonts w:hint="eastAsia" w:ascii="仿宋_GB2312" w:hAnsi="仿宋" w:eastAsia="仿宋_GB2312" w:cs="宋体"/>
          <w:sz w:val="32"/>
          <w:szCs w:val="32"/>
          <w:lang w:eastAsia="zh-CN" w:bidi="ar"/>
        </w:rPr>
      </w:pPr>
      <w:r>
        <w:rPr>
          <w:rFonts w:hint="eastAsia" w:ascii="仿宋_GB2312" w:hAnsi="仿宋" w:eastAsia="仿宋_GB2312" w:cs="宋体"/>
          <w:sz w:val="32"/>
          <w:szCs w:val="32"/>
          <w:lang w:bidi="ar"/>
        </w:rPr>
        <w:t>附件2：</w:t>
      </w:r>
      <w:r>
        <w:rPr>
          <w:rFonts w:hint="eastAsia" w:ascii="仿宋_GB2312" w:hAnsi="仿宋" w:eastAsia="仿宋_GB2312" w:cs="宋体"/>
          <w:sz w:val="32"/>
          <w:szCs w:val="32"/>
          <w:lang w:eastAsia="zh-CN" w:bidi="ar"/>
        </w:rPr>
        <w:t>喀什地区地震局地震台站运行项目</w:t>
      </w:r>
      <w:r>
        <w:rPr>
          <w:rFonts w:hint="eastAsia" w:ascii="仿宋_GB2312" w:hAnsi="仿宋" w:eastAsia="仿宋_GB2312" w:cs="宋体"/>
          <w:sz w:val="32"/>
          <w:szCs w:val="32"/>
          <w:lang w:bidi="ar"/>
        </w:rPr>
        <w:t>支出绩效</w:t>
      </w:r>
      <w:bookmarkStart w:id="8" w:name="_GoBack"/>
      <w:bookmarkEnd w:id="8"/>
      <w:r>
        <w:rPr>
          <w:rFonts w:hint="eastAsia" w:ascii="仿宋_GB2312" w:hAnsi="仿宋" w:eastAsia="仿宋_GB2312" w:cs="宋体"/>
          <w:sz w:val="32"/>
          <w:szCs w:val="32"/>
          <w:lang w:eastAsia="zh-CN" w:bidi="ar"/>
        </w:rPr>
        <w:t>表</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3</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eastAsia="zh-CN" w:bidi="ar"/>
        </w:rPr>
        <w:t>喀什地区地震局地震台站运行项目</w:t>
      </w:r>
      <w:r>
        <w:rPr>
          <w:rFonts w:hint="eastAsia" w:ascii="仿宋_GB2312" w:hAnsi="仿宋" w:eastAsia="仿宋_GB2312" w:cs="宋体"/>
          <w:sz w:val="32"/>
          <w:szCs w:val="32"/>
          <w:lang w:bidi="ar"/>
        </w:rPr>
        <w:t>支出绩效自评表</w:t>
      </w:r>
    </w:p>
    <w:p>
      <w:pPr>
        <w:spacing w:before="120" w:beforeLines="50" w:line="600" w:lineRule="exact"/>
        <w:ind w:firstLine="640" w:firstLineChars="200"/>
        <w:rPr>
          <w:rFonts w:hint="eastAsia" w:ascii="仿宋_GB2312" w:hAnsi="仿宋" w:eastAsia="仿宋_GB2312" w:cs="宋体"/>
          <w:sz w:val="32"/>
          <w:szCs w:val="32"/>
          <w:lang w:eastAsia="zh-CN" w:bidi="ar"/>
        </w:rPr>
      </w:pP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4</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eastAsia="zh-CN" w:bidi="ar"/>
        </w:rPr>
        <w:t>喀什地区地震局地震台站运行项目</w:t>
      </w:r>
      <w:r>
        <w:rPr>
          <w:rFonts w:hint="eastAsia" w:ascii="仿宋_GB2312" w:hAnsi="仿宋" w:eastAsia="仿宋_GB2312" w:cs="宋体"/>
          <w:sz w:val="32"/>
          <w:szCs w:val="32"/>
          <w:lang w:bidi="ar"/>
        </w:rPr>
        <w:t>支出绩效评价指标体系</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5</w:t>
      </w:r>
      <w:r>
        <w:rPr>
          <w:rFonts w:hint="eastAsia" w:ascii="仿宋_GB2312" w:hAnsi="仿宋" w:eastAsia="仿宋_GB2312" w:cs="宋体"/>
          <w:sz w:val="32"/>
          <w:szCs w:val="32"/>
          <w:lang w:bidi="ar"/>
        </w:rPr>
        <w:t>：绩效评价依据</w:t>
      </w:r>
    </w:p>
    <w:p>
      <w:pPr>
        <w:spacing w:before="120" w:beforeLines="50" w:line="600" w:lineRule="exact"/>
        <w:ind w:firstLine="640" w:firstLineChars="200"/>
        <w:rPr>
          <w:rFonts w:ascii="仿宋_GB2312" w:hAnsi="仿宋" w:eastAsia="仿宋_GB2312" w:cs="宋体"/>
          <w:sz w:val="32"/>
          <w:szCs w:val="32"/>
          <w:lang w:bidi="ar"/>
        </w:rPr>
      </w:pPr>
      <w:r>
        <w:rPr>
          <w:rFonts w:hint="eastAsia" w:ascii="仿宋_GB2312" w:hAnsi="仿宋" w:eastAsia="仿宋_GB2312" w:cs="宋体"/>
          <w:sz w:val="32"/>
          <w:szCs w:val="32"/>
          <w:lang w:bidi="ar"/>
        </w:rPr>
        <w:t>附件</w:t>
      </w:r>
      <w:r>
        <w:rPr>
          <w:rFonts w:hint="eastAsia" w:ascii="仿宋_GB2312" w:hAnsi="仿宋" w:eastAsia="仿宋_GB2312" w:cs="宋体"/>
          <w:sz w:val="32"/>
          <w:szCs w:val="32"/>
          <w:lang w:val="en-US" w:eastAsia="zh-CN" w:bidi="ar"/>
        </w:rPr>
        <w:t>6</w:t>
      </w:r>
      <w:r>
        <w:rPr>
          <w:rFonts w:hint="eastAsia" w:ascii="仿宋_GB2312" w:hAnsi="仿宋" w:eastAsia="仿宋_GB2312" w:cs="宋体"/>
          <w:sz w:val="32"/>
          <w:szCs w:val="32"/>
          <w:lang w:bidi="ar"/>
        </w:rPr>
        <w:t>：</w:t>
      </w:r>
      <w:r>
        <w:rPr>
          <w:rFonts w:hint="eastAsia" w:ascii="仿宋_GB2312" w:hAnsi="仿宋" w:eastAsia="仿宋_GB2312" w:cs="宋体"/>
          <w:sz w:val="32"/>
          <w:szCs w:val="32"/>
          <w:lang w:eastAsia="zh-CN" w:bidi="ar"/>
        </w:rPr>
        <w:t>喀什地区地震局地震台站运行项目</w:t>
      </w:r>
      <w:r>
        <w:rPr>
          <w:rFonts w:hint="eastAsia" w:ascii="仿宋_GB2312" w:hAnsi="仿宋" w:eastAsia="仿宋_GB2312" w:cs="宋体"/>
          <w:sz w:val="32"/>
          <w:szCs w:val="32"/>
          <w:lang w:bidi="ar"/>
        </w:rPr>
        <w:t>支出绩效评价评分表</w:t>
      </w:r>
    </w:p>
    <w:p>
      <w:pPr>
        <w:spacing w:before="120" w:beforeLines="50" w:line="600" w:lineRule="exact"/>
        <w:ind w:firstLine="640" w:firstLineChars="200"/>
        <w:rPr>
          <w:rFonts w:ascii="仿宋_GB2312" w:hAnsi="仿宋" w:eastAsia="仿宋_GB2312" w:cs="宋体"/>
          <w:sz w:val="32"/>
          <w:szCs w:val="32"/>
          <w:lang w:bidi="ar"/>
        </w:rPr>
      </w:pPr>
    </w:p>
    <w:sectPr>
      <w:footerReference r:id="rId3" w:type="default"/>
      <w:pgSz w:w="11906" w:h="16838"/>
      <w:pgMar w:top="1440" w:right="1797" w:bottom="1440" w:left="1797" w:header="851" w:footer="992" w:gutter="0"/>
      <w:pgNumType w:start="1"/>
      <w:cols w:space="425" w:num="1"/>
      <w:docGrid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等线">
    <w:altName w:val="宋体"/>
    <w:panose1 w:val="02010600030101010101"/>
    <w:charset w:val="86"/>
    <w:family w:val="auto"/>
    <w:pitch w:val="default"/>
    <w:sig w:usb0="00000000" w:usb1="00000000" w:usb2="00000016" w:usb3="00000000" w:csb0="0004000F" w:csb1="00000000"/>
  </w:font>
  <w:font w:name="等线 Light">
    <w:altName w:val="宋体"/>
    <w:panose1 w:val="02010600030101010101"/>
    <w:charset w:val="86"/>
    <w:family w:val="auto"/>
    <w:pitch w:val="default"/>
    <w:sig w:usb0="00000000" w:usb1="00000000" w:usb2="00000016" w:usb3="00000000" w:csb0="0004000F" w:csb1="00000000"/>
  </w:font>
  <w:font w:name="仿宋_GB2312">
    <w:altName w:val="仿宋"/>
    <w:panose1 w:val="00000000000000000000"/>
    <w:charset w:val="86"/>
    <w:family w:val="modern"/>
    <w:pitch w:val="default"/>
    <w:sig w:usb0="00000000" w:usb1="00000000" w:usb2="00000010" w:usb3="00000000" w:csb0="00040000" w:csb1="00000000"/>
  </w:font>
  <w:font w:name="MingLiU">
    <w:panose1 w:val="02020509000000000000"/>
    <w:charset w:val="88"/>
    <w:family w:val="modern"/>
    <w:pitch w:val="default"/>
    <w:sig w:usb0="A00002FF" w:usb1="28CFFCFA" w:usb2="00000016" w:usb3="00000000" w:csb0="00100001" w:csb1="00000000"/>
  </w:font>
  <w:font w:name="方正小标宋简体">
    <w:altName w:val="黑体"/>
    <w:panose1 w:val="00000000000000000000"/>
    <w:charset w:val="86"/>
    <w:family w:val="script"/>
    <w:pitch w:val="default"/>
    <w:sig w:usb0="00000000" w:usb1="00000000" w:usb2="00000010" w:usb3="00000000" w:csb0="00040000" w:csb1="00000000"/>
  </w:font>
  <w:font w:name="仿宋">
    <w:panose1 w:val="02010609060101010101"/>
    <w:charset w:val="86"/>
    <w:family w:val="modern"/>
    <w:pitch w:val="default"/>
    <w:sig w:usb0="800002BF" w:usb1="38CF7CFA" w:usb2="00000016" w:usb3="00000000" w:csb0="00040001" w:csb1="00000000"/>
  </w:font>
  <w:font w:name="等线">
    <w:altName w:val="微软雅黑"/>
    <w:panose1 w:val="00000000000000000000"/>
    <w:charset w:val="00"/>
    <w:family w:val="auto"/>
    <w:pitch w:val="default"/>
    <w:sig w:usb0="00000000" w:usb1="00000000" w:usb2="00000000" w:usb3="00000000" w:csb0="00000000" w:csb1="00000000"/>
  </w:font>
  <w:font w:name="微软雅黑">
    <w:panose1 w:val="020B0503020204020204"/>
    <w:charset w:val="86"/>
    <w:family w:val="auto"/>
    <w:pitch w:val="default"/>
    <w:sig w:usb0="80000287" w:usb1="280F3C52" w:usb2="00000016" w:usb3="00000000" w:csb0="0004001F" w:csb1="00000000"/>
  </w:font>
  <w:font w:name="等线 Light">
    <w:altName w:val="Segoe Print"/>
    <w:panose1 w:val="00000000000000000000"/>
    <w:charset w:val="00"/>
    <w:family w:val="auto"/>
    <w:pitch w:val="default"/>
    <w:sig w:usb0="00000000" w:usb1="00000000" w:usb2="00000000" w:usb3="00000000" w:csb0="00000000" w:csb1="00000000"/>
  </w:font>
  <w:font w:name="Segoe Print">
    <w:panose1 w:val="02000600000000000000"/>
    <w:charset w:val="00"/>
    <w:family w:val="auto"/>
    <w:pitch w:val="default"/>
    <w:sig w:usb0="0000028F" w:usb1="00000000" w:usb2="00000000" w:usb3="00000000" w:csb0="2000009F" w:csb1="4701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p>
  <w:p>
    <w:pPr>
      <w:pStyle w:val="7"/>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16D4D14"/>
    <w:multiLevelType w:val="multilevel"/>
    <w:tmpl w:val="316D4D14"/>
    <w:lvl w:ilvl="0" w:tentative="0">
      <w:start w:val="1"/>
      <w:numFmt w:val="decimal"/>
      <w:lvlText w:val="%1."/>
      <w:lvlJc w:val="left"/>
      <w:pPr>
        <w:ind w:left="988" w:hanging="420"/>
      </w:pPr>
    </w:lvl>
    <w:lvl w:ilvl="1" w:tentative="0">
      <w:start w:val="1"/>
      <w:numFmt w:val="decimal"/>
      <w:lvlText w:val="%2."/>
      <w:lvlJc w:val="left"/>
      <w:pPr>
        <w:ind w:left="1408" w:hanging="420"/>
      </w:pPr>
    </w:lvl>
    <w:lvl w:ilvl="2" w:tentative="0">
      <w:start w:val="1"/>
      <w:numFmt w:val="lowerRoman"/>
      <w:lvlText w:val="%3."/>
      <w:lvlJc w:val="right"/>
      <w:pPr>
        <w:ind w:left="1828" w:hanging="420"/>
      </w:pPr>
    </w:lvl>
    <w:lvl w:ilvl="3" w:tentative="0">
      <w:start w:val="1"/>
      <w:numFmt w:val="decimal"/>
      <w:lvlText w:val="%4."/>
      <w:lvlJc w:val="left"/>
      <w:pPr>
        <w:ind w:left="2248" w:hanging="420"/>
      </w:pPr>
    </w:lvl>
    <w:lvl w:ilvl="4" w:tentative="0">
      <w:start w:val="1"/>
      <w:numFmt w:val="lowerLetter"/>
      <w:lvlText w:val="%5)"/>
      <w:lvlJc w:val="left"/>
      <w:pPr>
        <w:ind w:left="2668" w:hanging="420"/>
      </w:pPr>
    </w:lvl>
    <w:lvl w:ilvl="5" w:tentative="0">
      <w:start w:val="1"/>
      <w:numFmt w:val="lowerRoman"/>
      <w:lvlText w:val="%6."/>
      <w:lvlJc w:val="right"/>
      <w:pPr>
        <w:ind w:left="3088" w:hanging="420"/>
      </w:pPr>
    </w:lvl>
    <w:lvl w:ilvl="6" w:tentative="0">
      <w:start w:val="1"/>
      <w:numFmt w:val="decimal"/>
      <w:lvlText w:val="%7."/>
      <w:lvlJc w:val="left"/>
      <w:pPr>
        <w:ind w:left="3508" w:hanging="420"/>
      </w:pPr>
    </w:lvl>
    <w:lvl w:ilvl="7" w:tentative="0">
      <w:start w:val="1"/>
      <w:numFmt w:val="lowerLetter"/>
      <w:lvlText w:val="%8)"/>
      <w:lvlJc w:val="left"/>
      <w:pPr>
        <w:ind w:left="3928" w:hanging="420"/>
      </w:pPr>
    </w:lvl>
    <w:lvl w:ilvl="8" w:tentative="0">
      <w:start w:val="1"/>
      <w:numFmt w:val="lowerRoman"/>
      <w:lvlText w:val="%9."/>
      <w:lvlJc w:val="right"/>
      <w:pPr>
        <w:ind w:left="4348" w:hanging="420"/>
      </w:pPr>
    </w:lvl>
  </w:abstractNum>
  <w:abstractNum w:abstractNumId="1">
    <w:nsid w:val="3A7260C0"/>
    <w:multiLevelType w:val="multilevel"/>
    <w:tmpl w:val="3A7260C0"/>
    <w:lvl w:ilvl="0" w:tentative="0">
      <w:start w:val="1"/>
      <w:numFmt w:val="chineseCountingThousand"/>
      <w:pStyle w:val="23"/>
      <w:lvlText w:val="(%1)"/>
      <w:lvlJc w:val="left"/>
      <w:pPr>
        <w:ind w:left="988" w:hanging="420"/>
      </w:pPr>
      <w:rPr>
        <w:rFonts w:hint="eastAsia"/>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2">
    <w:nsid w:val="4F37299F"/>
    <w:multiLevelType w:val="multilevel"/>
    <w:tmpl w:val="4F37299F"/>
    <w:lvl w:ilvl="0" w:tentative="0">
      <w:start w:val="1"/>
      <w:numFmt w:val="chineseCountingThousand"/>
      <w:lvlText w:val="(%1)"/>
      <w:lvlJc w:val="left"/>
      <w:pPr>
        <w:ind w:left="420" w:hanging="420"/>
      </w:pPr>
      <w:rPr>
        <w:rFonts w:hint="eastAsia"/>
      </w:rPr>
    </w:lvl>
    <w:lvl w:ilvl="1" w:tentative="0">
      <w:start w:val="1"/>
      <w:numFmt w:val="japaneseCounting"/>
      <w:lvlText w:val="（%2）"/>
      <w:lvlJc w:val="left"/>
      <w:pPr>
        <w:ind w:left="1500" w:hanging="1080"/>
      </w:pPr>
      <w:rPr>
        <w:rFonts w:hint="default"/>
      </w:r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abstractNum w:abstractNumId="3">
    <w:nsid w:val="54451D54"/>
    <w:multiLevelType w:val="multilevel"/>
    <w:tmpl w:val="54451D54"/>
    <w:lvl w:ilvl="0" w:tentative="0">
      <w:start w:val="1"/>
      <w:numFmt w:val="decimal"/>
      <w:lvlText w:val="%1．"/>
      <w:lvlJc w:val="left"/>
      <w:pPr>
        <w:ind w:left="1065" w:hanging="420"/>
      </w:pPr>
      <w:rPr>
        <w:rFonts w:hint="eastAsia"/>
      </w:rPr>
    </w:lvl>
    <w:lvl w:ilvl="1" w:tentative="0">
      <w:start w:val="1"/>
      <w:numFmt w:val="lowerLetter"/>
      <w:lvlText w:val="%2)"/>
      <w:lvlJc w:val="left"/>
      <w:pPr>
        <w:ind w:left="1485" w:hanging="420"/>
      </w:pPr>
    </w:lvl>
    <w:lvl w:ilvl="2" w:tentative="0">
      <w:start w:val="1"/>
      <w:numFmt w:val="lowerRoman"/>
      <w:lvlText w:val="%3."/>
      <w:lvlJc w:val="right"/>
      <w:pPr>
        <w:ind w:left="1905" w:hanging="420"/>
      </w:pPr>
    </w:lvl>
    <w:lvl w:ilvl="3" w:tentative="0">
      <w:start w:val="1"/>
      <w:numFmt w:val="decimal"/>
      <w:lvlText w:val="%4."/>
      <w:lvlJc w:val="left"/>
      <w:pPr>
        <w:ind w:left="2325" w:hanging="420"/>
      </w:pPr>
    </w:lvl>
    <w:lvl w:ilvl="4" w:tentative="0">
      <w:start w:val="1"/>
      <w:numFmt w:val="lowerLetter"/>
      <w:lvlText w:val="%5)"/>
      <w:lvlJc w:val="left"/>
      <w:pPr>
        <w:ind w:left="2745" w:hanging="420"/>
      </w:pPr>
    </w:lvl>
    <w:lvl w:ilvl="5" w:tentative="0">
      <w:start w:val="1"/>
      <w:numFmt w:val="lowerRoman"/>
      <w:lvlText w:val="%6."/>
      <w:lvlJc w:val="right"/>
      <w:pPr>
        <w:ind w:left="3165" w:hanging="420"/>
      </w:pPr>
    </w:lvl>
    <w:lvl w:ilvl="6" w:tentative="0">
      <w:start w:val="1"/>
      <w:numFmt w:val="decimal"/>
      <w:lvlText w:val="%7."/>
      <w:lvlJc w:val="left"/>
      <w:pPr>
        <w:ind w:left="3585" w:hanging="420"/>
      </w:pPr>
    </w:lvl>
    <w:lvl w:ilvl="7" w:tentative="0">
      <w:start w:val="1"/>
      <w:numFmt w:val="lowerLetter"/>
      <w:lvlText w:val="%8)"/>
      <w:lvlJc w:val="left"/>
      <w:pPr>
        <w:ind w:left="4005" w:hanging="420"/>
      </w:pPr>
    </w:lvl>
    <w:lvl w:ilvl="8" w:tentative="0">
      <w:start w:val="1"/>
      <w:numFmt w:val="lowerRoman"/>
      <w:lvlText w:val="%9."/>
      <w:lvlJc w:val="right"/>
      <w:pPr>
        <w:ind w:left="4425" w:hanging="420"/>
      </w:pPr>
    </w:lvl>
  </w:abstractNum>
  <w:abstractNum w:abstractNumId="4">
    <w:nsid w:val="5B493FDA"/>
    <w:multiLevelType w:val="multilevel"/>
    <w:tmpl w:val="5B493FDA"/>
    <w:lvl w:ilvl="0" w:tentative="0">
      <w:start w:val="1"/>
      <w:numFmt w:val="chineseCountingThousand"/>
      <w:lvlText w:val="(%1)"/>
      <w:lvlJc w:val="left"/>
      <w:pPr>
        <w:ind w:left="1060" w:hanging="420"/>
      </w:pPr>
      <w:rPr>
        <w:rFonts w:hint="eastAsia"/>
      </w:rPr>
    </w:lvl>
    <w:lvl w:ilvl="1" w:tentative="0">
      <w:start w:val="1"/>
      <w:numFmt w:val="lowerLetter"/>
      <w:lvlText w:val="%2)"/>
      <w:lvlJc w:val="left"/>
      <w:pPr>
        <w:ind w:left="1480" w:hanging="420"/>
      </w:pPr>
    </w:lvl>
    <w:lvl w:ilvl="2" w:tentative="0">
      <w:start w:val="1"/>
      <w:numFmt w:val="lowerRoman"/>
      <w:lvlText w:val="%3."/>
      <w:lvlJc w:val="right"/>
      <w:pPr>
        <w:ind w:left="1900" w:hanging="420"/>
      </w:pPr>
    </w:lvl>
    <w:lvl w:ilvl="3" w:tentative="0">
      <w:start w:val="1"/>
      <w:numFmt w:val="decimal"/>
      <w:lvlText w:val="%4."/>
      <w:lvlJc w:val="left"/>
      <w:pPr>
        <w:ind w:left="2320" w:hanging="420"/>
      </w:pPr>
    </w:lvl>
    <w:lvl w:ilvl="4" w:tentative="0">
      <w:start w:val="1"/>
      <w:numFmt w:val="lowerLetter"/>
      <w:lvlText w:val="%5)"/>
      <w:lvlJc w:val="left"/>
      <w:pPr>
        <w:ind w:left="2740" w:hanging="420"/>
      </w:pPr>
    </w:lvl>
    <w:lvl w:ilvl="5" w:tentative="0">
      <w:start w:val="1"/>
      <w:numFmt w:val="lowerRoman"/>
      <w:lvlText w:val="%6."/>
      <w:lvlJc w:val="right"/>
      <w:pPr>
        <w:ind w:left="3160" w:hanging="420"/>
      </w:pPr>
    </w:lvl>
    <w:lvl w:ilvl="6" w:tentative="0">
      <w:start w:val="1"/>
      <w:numFmt w:val="decimal"/>
      <w:lvlText w:val="%7."/>
      <w:lvlJc w:val="left"/>
      <w:pPr>
        <w:ind w:left="3580" w:hanging="420"/>
      </w:pPr>
    </w:lvl>
    <w:lvl w:ilvl="7" w:tentative="0">
      <w:start w:val="1"/>
      <w:numFmt w:val="lowerLetter"/>
      <w:lvlText w:val="%8)"/>
      <w:lvlJc w:val="left"/>
      <w:pPr>
        <w:ind w:left="4000" w:hanging="420"/>
      </w:pPr>
    </w:lvl>
    <w:lvl w:ilvl="8" w:tentative="0">
      <w:start w:val="1"/>
      <w:numFmt w:val="lowerRoman"/>
      <w:lvlText w:val="%9."/>
      <w:lvlJc w:val="right"/>
      <w:pPr>
        <w:ind w:left="4420" w:hanging="420"/>
      </w:pPr>
    </w:lvl>
  </w:abstractNum>
  <w:abstractNum w:abstractNumId="5">
    <w:nsid w:val="6757463D"/>
    <w:multiLevelType w:val="multilevel"/>
    <w:tmpl w:val="6757463D"/>
    <w:lvl w:ilvl="0" w:tentative="0">
      <w:start w:val="1"/>
      <w:numFmt w:val="chineseCountingThousand"/>
      <w:lvlText w:val="%1、"/>
      <w:lvlJc w:val="left"/>
      <w:pPr>
        <w:ind w:left="1063" w:hanging="420"/>
      </w:pPr>
      <w:rPr>
        <w:rFonts w:hint="eastAsia"/>
      </w:rPr>
    </w:lvl>
    <w:lvl w:ilvl="1" w:tentative="0">
      <w:start w:val="1"/>
      <w:numFmt w:val="lowerLetter"/>
      <w:lvlText w:val="%2)"/>
      <w:lvlJc w:val="left"/>
      <w:pPr>
        <w:ind w:left="1483" w:hanging="420"/>
      </w:pPr>
    </w:lvl>
    <w:lvl w:ilvl="2" w:tentative="0">
      <w:start w:val="1"/>
      <w:numFmt w:val="lowerRoman"/>
      <w:lvlText w:val="%3."/>
      <w:lvlJc w:val="right"/>
      <w:pPr>
        <w:ind w:left="1903" w:hanging="420"/>
      </w:pPr>
    </w:lvl>
    <w:lvl w:ilvl="3" w:tentative="0">
      <w:start w:val="1"/>
      <w:numFmt w:val="decimal"/>
      <w:lvlText w:val="%4."/>
      <w:lvlJc w:val="left"/>
      <w:pPr>
        <w:ind w:left="2323" w:hanging="420"/>
      </w:pPr>
    </w:lvl>
    <w:lvl w:ilvl="4" w:tentative="0">
      <w:start w:val="1"/>
      <w:numFmt w:val="lowerLetter"/>
      <w:lvlText w:val="%5)"/>
      <w:lvlJc w:val="left"/>
      <w:pPr>
        <w:ind w:left="2743" w:hanging="420"/>
      </w:pPr>
    </w:lvl>
    <w:lvl w:ilvl="5" w:tentative="0">
      <w:start w:val="1"/>
      <w:numFmt w:val="lowerRoman"/>
      <w:lvlText w:val="%6."/>
      <w:lvlJc w:val="right"/>
      <w:pPr>
        <w:ind w:left="3163" w:hanging="420"/>
      </w:pPr>
    </w:lvl>
    <w:lvl w:ilvl="6" w:tentative="0">
      <w:start w:val="1"/>
      <w:numFmt w:val="decimal"/>
      <w:lvlText w:val="%7."/>
      <w:lvlJc w:val="left"/>
      <w:pPr>
        <w:ind w:left="3583" w:hanging="420"/>
      </w:pPr>
    </w:lvl>
    <w:lvl w:ilvl="7" w:tentative="0">
      <w:start w:val="1"/>
      <w:numFmt w:val="lowerLetter"/>
      <w:lvlText w:val="%8)"/>
      <w:lvlJc w:val="left"/>
      <w:pPr>
        <w:ind w:left="4003" w:hanging="420"/>
      </w:pPr>
    </w:lvl>
    <w:lvl w:ilvl="8" w:tentative="0">
      <w:start w:val="1"/>
      <w:numFmt w:val="lowerRoman"/>
      <w:lvlText w:val="%9."/>
      <w:lvlJc w:val="right"/>
      <w:pPr>
        <w:ind w:left="4423" w:hanging="420"/>
      </w:pPr>
    </w:lvl>
  </w:abstractNum>
  <w:num w:numId="1">
    <w:abstractNumId w:val="1"/>
  </w:num>
  <w:num w:numId="2">
    <w:abstractNumId w:val="5"/>
  </w:num>
  <w:num w:numId="3">
    <w:abstractNumId w:val="3"/>
  </w:num>
  <w:num w:numId="4">
    <w:abstractNumId w:val="2"/>
  </w:num>
  <w:num w:numId="5">
    <w:abstractNumId w:val="0"/>
  </w:num>
  <w:num w:numId="6">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bordersDoNotSurroundHeader w:val="1"/>
  <w:bordersDoNotSurroundFooter w:val="1"/>
  <w:documentProtection w:enforcement="0"/>
  <w:defaultTabStop w:val="0"/>
  <w:drawingGridHorizontalSpacing w:val="210"/>
  <w:drawingGridVerticalSpacing w:val="158"/>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75715"/>
    <w:rsid w:val="00022413"/>
    <w:rsid w:val="00037F93"/>
    <w:rsid w:val="00042126"/>
    <w:rsid w:val="000E0C7B"/>
    <w:rsid w:val="000F2007"/>
    <w:rsid w:val="00100A64"/>
    <w:rsid w:val="00100AA9"/>
    <w:rsid w:val="001143D6"/>
    <w:rsid w:val="0012798F"/>
    <w:rsid w:val="00132553"/>
    <w:rsid w:val="00151AF1"/>
    <w:rsid w:val="00174F3A"/>
    <w:rsid w:val="0018169D"/>
    <w:rsid w:val="00193649"/>
    <w:rsid w:val="0019720C"/>
    <w:rsid w:val="001A1902"/>
    <w:rsid w:val="001A4FFA"/>
    <w:rsid w:val="001B5B44"/>
    <w:rsid w:val="001D5FF2"/>
    <w:rsid w:val="001D6F2E"/>
    <w:rsid w:val="00203FB6"/>
    <w:rsid w:val="00233ECE"/>
    <w:rsid w:val="002A1BF4"/>
    <w:rsid w:val="002B3A72"/>
    <w:rsid w:val="002C6231"/>
    <w:rsid w:val="002F7CDC"/>
    <w:rsid w:val="00324E56"/>
    <w:rsid w:val="00331AF1"/>
    <w:rsid w:val="003468D7"/>
    <w:rsid w:val="00363E52"/>
    <w:rsid w:val="00382736"/>
    <w:rsid w:val="003A04D1"/>
    <w:rsid w:val="003B292D"/>
    <w:rsid w:val="003C327E"/>
    <w:rsid w:val="003C4B3D"/>
    <w:rsid w:val="003C6E7F"/>
    <w:rsid w:val="003E0E95"/>
    <w:rsid w:val="003F1C70"/>
    <w:rsid w:val="003F2E47"/>
    <w:rsid w:val="00403544"/>
    <w:rsid w:val="004115AA"/>
    <w:rsid w:val="00434C92"/>
    <w:rsid w:val="00443C47"/>
    <w:rsid w:val="00452560"/>
    <w:rsid w:val="00467DBB"/>
    <w:rsid w:val="004A0587"/>
    <w:rsid w:val="004C56AB"/>
    <w:rsid w:val="004D088E"/>
    <w:rsid w:val="004D4F06"/>
    <w:rsid w:val="005225F1"/>
    <w:rsid w:val="00531253"/>
    <w:rsid w:val="00540B36"/>
    <w:rsid w:val="00563E06"/>
    <w:rsid w:val="0058554B"/>
    <w:rsid w:val="00596DDF"/>
    <w:rsid w:val="005B6EAB"/>
    <w:rsid w:val="005D7AC7"/>
    <w:rsid w:val="00630E69"/>
    <w:rsid w:val="006362B2"/>
    <w:rsid w:val="0065420A"/>
    <w:rsid w:val="006869EC"/>
    <w:rsid w:val="00694A44"/>
    <w:rsid w:val="006D0AA4"/>
    <w:rsid w:val="006F2513"/>
    <w:rsid w:val="006F64CB"/>
    <w:rsid w:val="0071759F"/>
    <w:rsid w:val="007253B3"/>
    <w:rsid w:val="00731D46"/>
    <w:rsid w:val="00734BAD"/>
    <w:rsid w:val="00752C57"/>
    <w:rsid w:val="00781733"/>
    <w:rsid w:val="007C5CF9"/>
    <w:rsid w:val="007D340B"/>
    <w:rsid w:val="007E6392"/>
    <w:rsid w:val="007F3C25"/>
    <w:rsid w:val="007F53E5"/>
    <w:rsid w:val="00811F2D"/>
    <w:rsid w:val="00815938"/>
    <w:rsid w:val="008226BA"/>
    <w:rsid w:val="00827DA6"/>
    <w:rsid w:val="00835103"/>
    <w:rsid w:val="00854416"/>
    <w:rsid w:val="00866F54"/>
    <w:rsid w:val="00883FF2"/>
    <w:rsid w:val="0089293E"/>
    <w:rsid w:val="00893E6C"/>
    <w:rsid w:val="008D7BC7"/>
    <w:rsid w:val="0090104C"/>
    <w:rsid w:val="00982B10"/>
    <w:rsid w:val="009C0267"/>
    <w:rsid w:val="009E5354"/>
    <w:rsid w:val="00A10F1E"/>
    <w:rsid w:val="00A12A0C"/>
    <w:rsid w:val="00A25EC1"/>
    <w:rsid w:val="00A365D5"/>
    <w:rsid w:val="00A41DB8"/>
    <w:rsid w:val="00A43094"/>
    <w:rsid w:val="00A53361"/>
    <w:rsid w:val="00A5786D"/>
    <w:rsid w:val="00A60191"/>
    <w:rsid w:val="00A81609"/>
    <w:rsid w:val="00A85237"/>
    <w:rsid w:val="00AB07C5"/>
    <w:rsid w:val="00AE1FDF"/>
    <w:rsid w:val="00AE3042"/>
    <w:rsid w:val="00B03B29"/>
    <w:rsid w:val="00B16C8F"/>
    <w:rsid w:val="00B32FA4"/>
    <w:rsid w:val="00B36F46"/>
    <w:rsid w:val="00B47B13"/>
    <w:rsid w:val="00B53BE4"/>
    <w:rsid w:val="00B6063F"/>
    <w:rsid w:val="00B9042A"/>
    <w:rsid w:val="00BA0855"/>
    <w:rsid w:val="00BA65AD"/>
    <w:rsid w:val="00BC7696"/>
    <w:rsid w:val="00C125DD"/>
    <w:rsid w:val="00C2671D"/>
    <w:rsid w:val="00C563AA"/>
    <w:rsid w:val="00C71FF0"/>
    <w:rsid w:val="00C77259"/>
    <w:rsid w:val="00C97E2D"/>
    <w:rsid w:val="00CE6A5E"/>
    <w:rsid w:val="00D043D7"/>
    <w:rsid w:val="00D117FB"/>
    <w:rsid w:val="00D23C2E"/>
    <w:rsid w:val="00D61EC8"/>
    <w:rsid w:val="00D93516"/>
    <w:rsid w:val="00DA7F4C"/>
    <w:rsid w:val="00DC5F94"/>
    <w:rsid w:val="00DE152F"/>
    <w:rsid w:val="00DE293B"/>
    <w:rsid w:val="00E05626"/>
    <w:rsid w:val="00E25B2F"/>
    <w:rsid w:val="00E373A5"/>
    <w:rsid w:val="00E407F0"/>
    <w:rsid w:val="00E66A4D"/>
    <w:rsid w:val="00E72B1C"/>
    <w:rsid w:val="00E96169"/>
    <w:rsid w:val="00F0780F"/>
    <w:rsid w:val="00F16D54"/>
    <w:rsid w:val="00F6015C"/>
    <w:rsid w:val="00F75715"/>
    <w:rsid w:val="00FB2E2F"/>
    <w:rsid w:val="00FD300A"/>
    <w:rsid w:val="00FF137F"/>
    <w:rsid w:val="00FF6959"/>
    <w:rsid w:val="00FF6C14"/>
    <w:rsid w:val="01BE6316"/>
    <w:rsid w:val="0A19095D"/>
    <w:rsid w:val="24E73B1F"/>
    <w:rsid w:val="26F03C06"/>
    <w:rsid w:val="2A547683"/>
    <w:rsid w:val="30480528"/>
    <w:rsid w:val="3D2A29BF"/>
    <w:rsid w:val="667765BF"/>
    <w:rsid w:val="675F0955"/>
    <w:rsid w:val="773C1993"/>
    <w:rsid w:val="7775238E"/>
    <w:rsid w:val="79F20260"/>
    <w:rsid w:val="7A8638D9"/>
    <w:rsid w:val="7EC51516"/>
    <w:rsid w:val="7EF3578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3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1"/>
      <w:lang w:val="en-US" w:eastAsia="zh-CN" w:bidi="ar-SA"/>
    </w:rPr>
  </w:style>
  <w:style w:type="paragraph" w:styleId="2">
    <w:name w:val="heading 1"/>
    <w:basedOn w:val="1"/>
    <w:next w:val="1"/>
    <w:link w:val="16"/>
    <w:qFormat/>
    <w:uiPriority w:val="9"/>
    <w:pPr>
      <w:keepNext/>
      <w:keepLines/>
      <w:spacing w:before="340" w:after="330" w:line="578" w:lineRule="auto"/>
      <w:outlineLvl w:val="0"/>
    </w:pPr>
    <w:rPr>
      <w:rFonts w:ascii="Times New Roman" w:hAnsi="Times New Roman" w:eastAsia="黑体" w:cs="Arial"/>
      <w:b/>
      <w:bCs/>
      <w:kern w:val="44"/>
      <w:sz w:val="28"/>
      <w:szCs w:val="44"/>
    </w:rPr>
  </w:style>
  <w:style w:type="paragraph" w:styleId="3">
    <w:name w:val="heading 2"/>
    <w:basedOn w:val="1"/>
    <w:next w:val="1"/>
    <w:link w:val="22"/>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32"/>
    <w:semiHidden/>
    <w:unhideWhenUsed/>
    <w:qFormat/>
    <w:uiPriority w:val="9"/>
    <w:pPr>
      <w:keepNext/>
      <w:keepLines/>
      <w:spacing w:before="260" w:after="260" w:line="416" w:lineRule="auto"/>
      <w:outlineLvl w:val="2"/>
    </w:pPr>
    <w:rPr>
      <w:b/>
      <w:bCs/>
      <w:sz w:val="32"/>
      <w:szCs w:val="32"/>
    </w:rPr>
  </w:style>
  <w:style w:type="character" w:default="1" w:styleId="14">
    <w:name w:val="Default Paragraph Font"/>
    <w:semiHidden/>
    <w:unhideWhenUsed/>
    <w:qFormat/>
    <w:uiPriority w:val="1"/>
  </w:style>
  <w:style w:type="table" w:default="1" w:styleId="12">
    <w:name w:val="Normal Table"/>
    <w:semiHidden/>
    <w:unhideWhenUsed/>
    <w:qFormat/>
    <w:uiPriority w:val="99"/>
    <w:tblPr>
      <w:tblCellMar>
        <w:top w:w="0" w:type="dxa"/>
        <w:left w:w="108" w:type="dxa"/>
        <w:bottom w:w="0" w:type="dxa"/>
        <w:right w:w="108" w:type="dxa"/>
      </w:tblCellMar>
    </w:tblPr>
  </w:style>
  <w:style w:type="paragraph" w:styleId="5">
    <w:name w:val="toc 3"/>
    <w:basedOn w:val="1"/>
    <w:next w:val="1"/>
    <w:semiHidden/>
    <w:unhideWhenUsed/>
    <w:qFormat/>
    <w:uiPriority w:val="39"/>
    <w:rPr>
      <w:rFonts w:eastAsia="仿宋_GB2312"/>
      <w:sz w:val="28"/>
    </w:rPr>
  </w:style>
  <w:style w:type="paragraph" w:styleId="6">
    <w:name w:val="Balloon Text"/>
    <w:basedOn w:val="1"/>
    <w:link w:val="20"/>
    <w:semiHidden/>
    <w:unhideWhenUsed/>
    <w:qFormat/>
    <w:uiPriority w:val="99"/>
    <w:rPr>
      <w:sz w:val="18"/>
      <w:szCs w:val="18"/>
    </w:rPr>
  </w:style>
  <w:style w:type="paragraph" w:styleId="7">
    <w:name w:val="footer"/>
    <w:basedOn w:val="1"/>
    <w:link w:val="19"/>
    <w:unhideWhenUsed/>
    <w:qFormat/>
    <w:uiPriority w:val="99"/>
    <w:pPr>
      <w:tabs>
        <w:tab w:val="center" w:pos="4153"/>
        <w:tab w:val="right" w:pos="8306"/>
      </w:tabs>
      <w:snapToGrid w:val="0"/>
      <w:jc w:val="left"/>
    </w:pPr>
    <w:rPr>
      <w:sz w:val="18"/>
      <w:szCs w:val="18"/>
    </w:rPr>
  </w:style>
  <w:style w:type="paragraph" w:styleId="8">
    <w:name w:val="header"/>
    <w:basedOn w:val="1"/>
    <w:link w:val="18"/>
    <w:unhideWhenUsed/>
    <w:qFormat/>
    <w:uiPriority w:val="99"/>
    <w:pPr>
      <w:pBdr>
        <w:bottom w:val="single" w:color="auto" w:sz="6" w:space="1"/>
      </w:pBdr>
      <w:tabs>
        <w:tab w:val="center" w:pos="4153"/>
        <w:tab w:val="right" w:pos="8306"/>
      </w:tabs>
      <w:snapToGrid w:val="0"/>
      <w:jc w:val="center"/>
    </w:pPr>
    <w:rPr>
      <w:sz w:val="18"/>
      <w:szCs w:val="18"/>
    </w:rPr>
  </w:style>
  <w:style w:type="paragraph" w:styleId="9">
    <w:name w:val="toc 1"/>
    <w:basedOn w:val="1"/>
    <w:next w:val="1"/>
    <w:unhideWhenUsed/>
    <w:qFormat/>
    <w:uiPriority w:val="39"/>
    <w:rPr>
      <w:rFonts w:eastAsia="仿宋_GB2312"/>
      <w:sz w:val="28"/>
    </w:rPr>
  </w:style>
  <w:style w:type="paragraph" w:styleId="10">
    <w:name w:val="toc 2"/>
    <w:basedOn w:val="1"/>
    <w:next w:val="1"/>
    <w:unhideWhenUsed/>
    <w:qFormat/>
    <w:uiPriority w:val="39"/>
    <w:rPr>
      <w:rFonts w:eastAsia="仿宋_GB2312"/>
      <w:sz w:val="28"/>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table" w:styleId="13">
    <w:name w:val="Table Grid"/>
    <w:basedOn w:val="12"/>
    <w:qFormat/>
    <w:uiPriority w:val="3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Pr>
  </w:style>
  <w:style w:type="character" w:styleId="15">
    <w:name w:val="Hyperlink"/>
    <w:basedOn w:val="14"/>
    <w:unhideWhenUsed/>
    <w:qFormat/>
    <w:uiPriority w:val="99"/>
    <w:rPr>
      <w:color w:val="0563C1" w:themeColor="hyperlink"/>
      <w:u w:val="single"/>
      <w14:textFill>
        <w14:solidFill>
          <w14:schemeClr w14:val="hlink"/>
        </w14:solidFill>
      </w14:textFill>
    </w:rPr>
  </w:style>
  <w:style w:type="character" w:customStyle="1" w:styleId="16">
    <w:name w:val="标题 1 字符"/>
    <w:basedOn w:val="14"/>
    <w:link w:val="2"/>
    <w:qFormat/>
    <w:uiPriority w:val="9"/>
    <w:rPr>
      <w:rFonts w:ascii="Times New Roman" w:hAnsi="Times New Roman" w:eastAsia="黑体" w:cs="Arial"/>
      <w:b/>
      <w:bCs/>
      <w:kern w:val="44"/>
      <w:sz w:val="28"/>
      <w:szCs w:val="44"/>
    </w:rPr>
  </w:style>
  <w:style w:type="paragraph" w:styleId="17">
    <w:name w:val="List Paragraph"/>
    <w:basedOn w:val="1"/>
    <w:link w:val="35"/>
    <w:qFormat/>
    <w:uiPriority w:val="34"/>
    <w:pPr>
      <w:ind w:firstLine="420" w:firstLineChars="200"/>
    </w:pPr>
  </w:style>
  <w:style w:type="character" w:customStyle="1" w:styleId="18">
    <w:name w:val="页眉 字符"/>
    <w:basedOn w:val="14"/>
    <w:link w:val="8"/>
    <w:qFormat/>
    <w:uiPriority w:val="99"/>
    <w:rPr>
      <w:sz w:val="18"/>
      <w:szCs w:val="18"/>
    </w:rPr>
  </w:style>
  <w:style w:type="character" w:customStyle="1" w:styleId="19">
    <w:name w:val="页脚 字符"/>
    <w:basedOn w:val="14"/>
    <w:link w:val="7"/>
    <w:qFormat/>
    <w:uiPriority w:val="99"/>
    <w:rPr>
      <w:sz w:val="18"/>
      <w:szCs w:val="18"/>
    </w:rPr>
  </w:style>
  <w:style w:type="character" w:customStyle="1" w:styleId="20">
    <w:name w:val="批注框文本 字符"/>
    <w:basedOn w:val="14"/>
    <w:link w:val="6"/>
    <w:semiHidden/>
    <w:qFormat/>
    <w:uiPriority w:val="99"/>
    <w:rPr>
      <w:sz w:val="18"/>
      <w:szCs w:val="18"/>
    </w:rPr>
  </w:style>
  <w:style w:type="paragraph" w:customStyle="1" w:styleId="21">
    <w:name w:val="标题1"/>
    <w:basedOn w:val="2"/>
    <w:qFormat/>
    <w:uiPriority w:val="0"/>
    <w:pPr>
      <w:spacing w:before="120" w:after="120" w:line="500" w:lineRule="exact"/>
      <w:ind w:firstLine="200" w:firstLineChars="200"/>
    </w:pPr>
    <w:rPr>
      <w:rFonts w:cs="Times New Roman"/>
      <w:sz w:val="32"/>
      <w:szCs w:val="32"/>
    </w:rPr>
  </w:style>
  <w:style w:type="character" w:customStyle="1" w:styleId="22">
    <w:name w:val="标题 2 字符"/>
    <w:basedOn w:val="14"/>
    <w:link w:val="3"/>
    <w:qFormat/>
    <w:uiPriority w:val="9"/>
    <w:rPr>
      <w:rFonts w:asciiTheme="majorHAnsi" w:hAnsiTheme="majorHAnsi" w:eastAsiaTheme="majorEastAsia" w:cstheme="majorBidi"/>
      <w:b/>
      <w:bCs/>
      <w:sz w:val="32"/>
      <w:szCs w:val="32"/>
    </w:rPr>
  </w:style>
  <w:style w:type="paragraph" w:customStyle="1" w:styleId="23">
    <w:name w:val="标题2"/>
    <w:basedOn w:val="3"/>
    <w:qFormat/>
    <w:uiPriority w:val="0"/>
    <w:pPr>
      <w:numPr>
        <w:ilvl w:val="0"/>
        <w:numId w:val="1"/>
      </w:numPr>
      <w:spacing w:before="120" w:after="120" w:line="500" w:lineRule="exact"/>
    </w:pPr>
    <w:rPr>
      <w:rFonts w:ascii="仿宋_GB2312" w:eastAsia="仿宋_GB2312" w:cs="Times New Roman"/>
    </w:rPr>
  </w:style>
  <w:style w:type="paragraph" w:customStyle="1" w:styleId="24">
    <w:name w:val="TOC 标题1"/>
    <w:basedOn w:val="2"/>
    <w:next w:val="1"/>
    <w:unhideWhenUsed/>
    <w:qFormat/>
    <w:uiPriority w:val="39"/>
    <w:pPr>
      <w:widowControl/>
      <w:spacing w:before="240" w:after="0" w:line="259" w:lineRule="auto"/>
      <w:jc w:val="left"/>
      <w:outlineLvl w:val="9"/>
    </w:pPr>
    <w:rPr>
      <w:rFonts w:asciiTheme="majorHAnsi" w:hAnsiTheme="majorHAnsi" w:eastAsiaTheme="majorEastAsia" w:cstheme="majorBidi"/>
      <w:b w:val="0"/>
      <w:bCs w:val="0"/>
      <w:color w:val="2F5597" w:themeColor="accent1" w:themeShade="BF"/>
      <w:kern w:val="0"/>
      <w:sz w:val="32"/>
      <w:szCs w:val="32"/>
    </w:rPr>
  </w:style>
  <w:style w:type="character" w:customStyle="1" w:styleId="25">
    <w:name w:val="闻政正文 Char"/>
    <w:link w:val="26"/>
    <w:qFormat/>
    <w:uiPriority w:val="0"/>
    <w:rPr>
      <w:rFonts w:ascii="Times New Roman" w:hAnsi="Times New Roman" w:eastAsia="仿宋_GB2312" w:cs="Times New Roman"/>
      <w:sz w:val="28"/>
      <w:szCs w:val="28"/>
    </w:rPr>
  </w:style>
  <w:style w:type="paragraph" w:customStyle="1" w:styleId="26">
    <w:name w:val="闻政正文"/>
    <w:basedOn w:val="1"/>
    <w:link w:val="25"/>
    <w:qFormat/>
    <w:uiPriority w:val="0"/>
    <w:pPr>
      <w:spacing w:line="500" w:lineRule="exact"/>
      <w:ind w:firstLine="560" w:firstLineChars="200"/>
    </w:pPr>
    <w:rPr>
      <w:rFonts w:ascii="Times New Roman" w:hAnsi="Times New Roman" w:eastAsia="仿宋_GB2312" w:cs="Times New Roman"/>
      <w:sz w:val="28"/>
      <w:szCs w:val="28"/>
    </w:rPr>
  </w:style>
  <w:style w:type="character" w:customStyle="1" w:styleId="27">
    <w:name w:val="闻政表 Char"/>
    <w:link w:val="28"/>
    <w:qFormat/>
    <w:uiPriority w:val="0"/>
    <w:rPr>
      <w:rFonts w:ascii="Times New Roman" w:hAnsi="Times New Roman" w:eastAsia="仿宋_GB2312" w:cs="Times New Roman"/>
      <w:b/>
      <w:sz w:val="24"/>
      <w:szCs w:val="28"/>
    </w:rPr>
  </w:style>
  <w:style w:type="paragraph" w:customStyle="1" w:styleId="28">
    <w:name w:val="闻政表"/>
    <w:basedOn w:val="1"/>
    <w:link w:val="27"/>
    <w:qFormat/>
    <w:uiPriority w:val="0"/>
    <w:pPr>
      <w:spacing w:before="60" w:after="60"/>
      <w:jc w:val="center"/>
    </w:pPr>
    <w:rPr>
      <w:rFonts w:ascii="Times New Roman" w:hAnsi="Times New Roman" w:eastAsia="仿宋_GB2312" w:cs="Times New Roman"/>
      <w:b/>
      <w:sz w:val="24"/>
      <w:szCs w:val="28"/>
    </w:rPr>
  </w:style>
  <w:style w:type="paragraph" w:customStyle="1" w:styleId="29">
    <w:name w:val="Char"/>
    <w:basedOn w:val="1"/>
    <w:qFormat/>
    <w:uiPriority w:val="0"/>
    <w:pPr>
      <w:widowControl/>
      <w:spacing w:after="160" w:line="240" w:lineRule="exact"/>
      <w:jc w:val="left"/>
    </w:pPr>
    <w:rPr>
      <w:rFonts w:ascii="Times New Roman" w:hAnsi="Times New Roman" w:eastAsia="宋体" w:cs="Times New Roman"/>
      <w:szCs w:val="22"/>
    </w:rPr>
  </w:style>
  <w:style w:type="character" w:customStyle="1" w:styleId="30">
    <w:name w:val="闻政标题3 Char"/>
    <w:link w:val="31"/>
    <w:qFormat/>
    <w:uiPriority w:val="0"/>
    <w:rPr>
      <w:rFonts w:ascii="黑体" w:hAnsi="黑体" w:eastAsia="黑体" w:cs="Times New Roman"/>
      <w:bCs/>
      <w:sz w:val="32"/>
      <w:szCs w:val="32"/>
    </w:rPr>
  </w:style>
  <w:style w:type="paragraph" w:customStyle="1" w:styleId="31">
    <w:name w:val="闻政标题3"/>
    <w:basedOn w:val="4"/>
    <w:link w:val="30"/>
    <w:qFormat/>
    <w:uiPriority w:val="99"/>
    <w:pPr>
      <w:spacing w:before="120" w:after="60" w:line="500" w:lineRule="exact"/>
      <w:jc w:val="left"/>
      <w:outlineLvl w:val="0"/>
    </w:pPr>
    <w:rPr>
      <w:rFonts w:ascii="黑体" w:hAnsi="黑体" w:eastAsia="黑体" w:cs="Times New Roman"/>
      <w:b w:val="0"/>
    </w:rPr>
  </w:style>
  <w:style w:type="character" w:customStyle="1" w:styleId="32">
    <w:name w:val="标题 3 字符"/>
    <w:basedOn w:val="14"/>
    <w:link w:val="4"/>
    <w:semiHidden/>
    <w:qFormat/>
    <w:uiPriority w:val="9"/>
    <w:rPr>
      <w:b/>
      <w:bCs/>
      <w:sz w:val="32"/>
      <w:szCs w:val="32"/>
    </w:rPr>
  </w:style>
  <w:style w:type="paragraph" w:customStyle="1" w:styleId="33">
    <w:name w:val="Body text|1"/>
    <w:basedOn w:val="1"/>
    <w:link w:val="34"/>
    <w:qFormat/>
    <w:uiPriority w:val="0"/>
    <w:pPr>
      <w:spacing w:after="40" w:line="334" w:lineRule="auto"/>
    </w:pPr>
    <w:rPr>
      <w:rFonts w:ascii="MingLiU" w:hAnsi="MingLiU" w:eastAsia="MingLiU" w:cs="MingLiU"/>
      <w:sz w:val="20"/>
      <w:szCs w:val="20"/>
      <w:lang w:val="zh-TW" w:eastAsia="zh-TW" w:bidi="zh-TW"/>
    </w:rPr>
  </w:style>
  <w:style w:type="character" w:customStyle="1" w:styleId="34">
    <w:name w:val="Body text|1_"/>
    <w:basedOn w:val="14"/>
    <w:link w:val="33"/>
    <w:unhideWhenUsed/>
    <w:qFormat/>
    <w:uiPriority w:val="0"/>
    <w:rPr>
      <w:rFonts w:ascii="MingLiU" w:hAnsi="MingLiU" w:eastAsia="MingLiU" w:cs="MingLiU"/>
      <w:sz w:val="20"/>
      <w:szCs w:val="20"/>
      <w:lang w:val="zh-TW" w:eastAsia="zh-TW" w:bidi="zh-TW"/>
    </w:rPr>
  </w:style>
  <w:style w:type="character" w:customStyle="1" w:styleId="35">
    <w:name w:val="列表段落 字符"/>
    <w:basedOn w:val="14"/>
    <w:link w:val="17"/>
    <w:qFormat/>
    <w:uiPriority w:val="34"/>
    <w:rPr>
      <w:rFonts w:asciiTheme="minorHAnsi" w:hAnsiTheme="minorHAnsi" w:eastAsiaTheme="minorEastAsia" w:cstheme="minorBidi"/>
      <w:kern w:val="2"/>
      <w:sz w:val="21"/>
      <w:szCs w:val="21"/>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customXml" Target="../customXml/item2.xml"/><Relationship Id="rId6" Type="http://schemas.openxmlformats.org/officeDocument/2006/relationships/numbering" Target="numbering.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72B069F3-6000-428E-BA3B-6E5D123081DB}">
  <ds:schemaRefs/>
</ds:datastoreItem>
</file>

<file path=docProps/app.xml><?xml version="1.0" encoding="utf-8"?>
<Properties xmlns="http://schemas.openxmlformats.org/officeDocument/2006/extended-properties" xmlns:vt="http://schemas.openxmlformats.org/officeDocument/2006/docPropsVTypes">
  <Template>Normal</Template>
  <Pages>9</Pages>
  <Words>534</Words>
  <Characters>3045</Characters>
  <Lines>25</Lines>
  <Paragraphs>7</Paragraphs>
  <TotalTime>3</TotalTime>
  <ScaleCrop>false</ScaleCrop>
  <LinksUpToDate>false</LinksUpToDate>
  <CharactersWithSpaces>3572</CharactersWithSpaces>
  <Application>WPS Office_11.1.0.9564_F1E327BC-269C-435d-A152-05C5408002CA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2019-11-22T05:12:00Z</dcterms:created>
  <dc:creator>ThinkPad</dc:creator>
  <cp:lastModifiedBy>Administrator</cp:lastModifiedBy>
  <dcterms:modified xsi:type="dcterms:W3CDTF">2020-09-05T04:10:36Z</dcterms:modified>
  <dc:title>新疆普天鹏华商务信息咨询有限公司</dc:title>
  <cp:revision>89</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2052-11.1.0.9564</vt:lpwstr>
  </property>
</Properties>
</file>