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rPr>
          <w:rFonts w:ascii="黑体" w:hAnsi="黑体" w:eastAsia="黑体"/>
          <w:sz w:val="32"/>
          <w:szCs w:val="32"/>
        </w:rPr>
      </w:pPr>
      <w:r>
        <w:rPr>
          <w:rFonts w:hint="eastAsia" w:ascii="黑体" w:hAnsi="黑体" w:eastAsia="黑体"/>
          <w:sz w:val="32"/>
          <w:szCs w:val="32"/>
        </w:rPr>
        <w:t>附件：</w:t>
      </w: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p>
    <w:p>
      <w:pPr>
        <w:jc w:val="center"/>
        <w:rPr>
          <w:rFonts w:ascii="方正小标宋_GBK" w:hAnsi="宋体" w:eastAsia="方正小标宋_GBK"/>
          <w:sz w:val="44"/>
          <w:szCs w:val="44"/>
        </w:rPr>
      </w:pPr>
      <w:r>
        <w:rPr>
          <w:rFonts w:hint="eastAsia" w:ascii="方正小标宋_GBK" w:hAnsi="宋体" w:eastAsia="方正小标宋_GBK"/>
          <w:sz w:val="44"/>
          <w:szCs w:val="44"/>
        </w:rPr>
        <w:t>新疆喀什地区地震局2019年度部门决算</w:t>
      </w:r>
    </w:p>
    <w:p>
      <w:pPr>
        <w:jc w:val="center"/>
        <w:rPr>
          <w:rFonts w:ascii="方正小标宋_GBK" w:hAnsi="宋体" w:eastAsia="方正小标宋_GBK"/>
          <w:sz w:val="44"/>
          <w:szCs w:val="44"/>
        </w:rPr>
      </w:pPr>
      <w:r>
        <w:rPr>
          <w:rFonts w:hint="eastAsia" w:ascii="方正小标宋_GBK" w:hAnsi="宋体" w:eastAsia="方正小标宋_GBK"/>
          <w:sz w:val="44"/>
          <w:szCs w:val="44"/>
        </w:rPr>
        <w:t>公开说明</w:t>
      </w:r>
    </w:p>
    <w:p>
      <w:pPr>
        <w:jc w:val="center"/>
        <w:rPr>
          <w:rFonts w:ascii="仿宋_GB2312" w:hAnsi="仿宋_GB2312" w:eastAsia="仿宋_GB2312" w:cs="仿宋_GB2312"/>
          <w:bCs/>
          <w:kern w:val="0"/>
          <w:sz w:val="32"/>
          <w:szCs w:val="32"/>
        </w:rPr>
      </w:pPr>
      <w:r>
        <w:rPr>
          <w:rFonts w:hint="eastAsia" w:ascii="方正小标宋_GBK" w:hAnsi="宋体" w:eastAsia="方正小标宋_GBK"/>
          <w:sz w:val="44"/>
          <w:szCs w:val="44"/>
        </w:rPr>
        <w:br w:type="page"/>
      </w:r>
      <w:r>
        <w:rPr>
          <w:rFonts w:hint="eastAsia" w:ascii="仿宋_GB2312" w:hAnsi="仿宋_GB2312" w:eastAsia="仿宋_GB2312" w:cs="仿宋_GB2312"/>
          <w:b/>
          <w:kern w:val="0"/>
          <w:sz w:val="36"/>
          <w:szCs w:val="36"/>
        </w:rPr>
        <w:t>目  录</w:t>
      </w:r>
    </w:p>
    <w:p>
      <w:pPr>
        <w:pStyle w:val="6"/>
        <w:tabs>
          <w:tab w:val="right" w:pos="8306"/>
        </w:tabs>
        <w:rPr>
          <w:rFonts w:ascii="仿宋_GB2312" w:hAnsi="仿宋_GB2312" w:eastAsia="仿宋_GB2312" w:cs="仿宋_GB2312"/>
          <w:b/>
          <w:bCs/>
          <w:sz w:val="32"/>
          <w:szCs w:val="32"/>
        </w:rPr>
      </w:pPr>
      <w:r>
        <w:rPr>
          <w:rFonts w:hint="eastAsia" w:ascii="仿宋_GB2312" w:hAnsi="仿宋_GB2312" w:eastAsia="仿宋_GB2312" w:cs="仿宋_GB2312"/>
          <w:sz w:val="32"/>
          <w:szCs w:val="32"/>
        </w:rPr>
        <w:fldChar w:fldCharType="begin"/>
      </w:r>
      <w:r>
        <w:rPr>
          <w:rFonts w:hint="eastAsia" w:ascii="仿宋_GB2312" w:hAnsi="仿宋_GB2312" w:eastAsia="仿宋_GB2312" w:cs="仿宋_GB2312"/>
          <w:sz w:val="32"/>
          <w:szCs w:val="32"/>
        </w:rPr>
        <w:instrText xml:space="preserve">TOC \o "1-3" \n  \h \u </w:instrText>
      </w:r>
      <w:r>
        <w:rPr>
          <w:rFonts w:hint="eastAsia" w:ascii="仿宋_GB2312" w:hAnsi="仿宋_GB2312" w:eastAsia="仿宋_GB2312" w:cs="仿宋_GB2312"/>
          <w:sz w:val="32"/>
          <w:szCs w:val="32"/>
        </w:rPr>
        <w:fldChar w:fldCharType="separate"/>
      </w:r>
      <w:r>
        <w:fldChar w:fldCharType="begin"/>
      </w:r>
      <w:r>
        <w:instrText xml:space="preserve"> HYPERLINK \l "_Toc32314" </w:instrText>
      </w:r>
      <w:r>
        <w:fldChar w:fldCharType="separate"/>
      </w:r>
      <w:r>
        <w:rPr>
          <w:rFonts w:hint="eastAsia" w:ascii="仿宋_GB2312" w:hAnsi="仿宋_GB2312" w:eastAsia="仿宋_GB2312" w:cs="仿宋_GB2312"/>
          <w:b/>
          <w:bCs/>
          <w:sz w:val="32"/>
          <w:szCs w:val="32"/>
        </w:rPr>
        <w:t>第一部分 部门单位概况</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"_Toc30567" </w:instrText>
      </w:r>
      <w:r>
        <w:fldChar w:fldCharType="separate"/>
      </w:r>
      <w:r>
        <w:rPr>
          <w:rFonts w:hint="eastAsia" w:ascii="仿宋_GB2312" w:hAnsi="仿宋_GB2312" w:eastAsia="仿宋_GB2312" w:cs="仿宋_GB2312"/>
          <w:bCs/>
          <w:kern w:val="0"/>
          <w:sz w:val="32"/>
          <w:szCs w:val="32"/>
        </w:rPr>
        <w:t>一、主要职能</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 </w:instrText>
      </w:r>
      <w:r>
        <w:fldChar w:fldCharType="separate"/>
      </w:r>
      <w:r>
        <w:rPr>
          <w:rFonts w:hint="eastAsia" w:ascii="仿宋_GB2312" w:hAnsi="仿宋_GB2312" w:eastAsia="仿宋_GB2312" w:cs="仿宋_GB2312"/>
          <w:bCs/>
          <w:kern w:val="0"/>
          <w:sz w:val="32"/>
          <w:szCs w:val="32"/>
        </w:rPr>
        <w:t>二、机构设置及人员情况</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"_Toc29374" </w:instrText>
      </w:r>
      <w:r>
        <w:fldChar w:fldCharType="separate"/>
      </w:r>
      <w:r>
        <w:rPr>
          <w:rFonts w:hint="eastAsia" w:ascii="仿宋_GB2312" w:hAnsi="仿宋_GB2312" w:eastAsia="仿宋_GB2312" w:cs="仿宋_GB2312"/>
          <w:b/>
          <w:bCs/>
          <w:sz w:val="32"/>
          <w:szCs w:val="32"/>
        </w:rPr>
        <w:t>第二部分 部门决算情况说明</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"_Toc25314" </w:instrText>
      </w:r>
      <w:r>
        <w:fldChar w:fldCharType="separate"/>
      </w:r>
      <w:r>
        <w:rPr>
          <w:rFonts w:hint="eastAsia" w:ascii="仿宋_GB2312" w:hAnsi="仿宋_GB2312" w:eastAsia="仿宋_GB2312" w:cs="仿宋_GB2312"/>
          <w:bCs/>
          <w:kern w:val="0"/>
          <w:sz w:val="32"/>
          <w:szCs w:val="32"/>
        </w:rPr>
        <w:t>一、收入支出决算总体情况说明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"_Toc12142" </w:instrText>
      </w:r>
      <w:r>
        <w:fldChar w:fldCharType="separate"/>
      </w:r>
      <w:r>
        <w:rPr>
          <w:rFonts w:hint="eastAsia" w:ascii="仿宋_GB2312" w:hAnsi="仿宋_GB2312" w:eastAsia="仿宋_GB2312" w:cs="仿宋_GB2312"/>
          <w:bCs/>
          <w:kern w:val="0"/>
          <w:sz w:val="32"/>
          <w:szCs w:val="32"/>
        </w:rPr>
        <w:t>二、收入决算情况说明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"_Toc13201" </w:instrText>
      </w:r>
      <w:r>
        <w:fldChar w:fldCharType="separate"/>
      </w:r>
      <w:r>
        <w:rPr>
          <w:rFonts w:hint="eastAsia" w:ascii="仿宋_GB2312" w:hAnsi="仿宋_GB2312" w:eastAsia="仿宋_GB2312" w:cs="仿宋_GB2312"/>
          <w:bCs/>
          <w:kern w:val="0"/>
          <w:sz w:val="32"/>
          <w:szCs w:val="32"/>
        </w:rPr>
        <w:t>三、支出决算情况说明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"_Toc26564" </w:instrText>
      </w:r>
      <w:r>
        <w:fldChar w:fldCharType="separate"/>
      </w:r>
      <w:r>
        <w:rPr>
          <w:rFonts w:hint="eastAsia" w:ascii="仿宋_GB2312" w:hAnsi="仿宋_GB2312" w:eastAsia="仿宋_GB2312" w:cs="仿宋_GB2312"/>
          <w:bCs/>
          <w:kern w:val="0"/>
          <w:sz w:val="32"/>
          <w:szCs w:val="32"/>
        </w:rPr>
        <w:t>四、财政拨款收入支出决算总体情况说明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"_Toc20360" </w:instrText>
      </w:r>
      <w:r>
        <w:fldChar w:fldCharType="separate"/>
      </w:r>
      <w:r>
        <w:rPr>
          <w:rFonts w:hint="eastAsia" w:ascii="仿宋_GB2312" w:hAnsi="仿宋_GB2312" w:eastAsia="仿宋_GB2312" w:cs="仿宋_GB2312"/>
          <w:bCs/>
          <w:kern w:val="0"/>
          <w:sz w:val="32"/>
          <w:szCs w:val="32"/>
        </w:rPr>
        <w:t>五、一般公共预算财政拨款支出决算情况说明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"_Toc30870" </w:instrText>
      </w:r>
      <w:r>
        <w:fldChar w:fldCharType="separate"/>
      </w:r>
      <w:r>
        <w:rPr>
          <w:rFonts w:hint="eastAsia" w:ascii="仿宋_GB2312" w:hAnsi="仿宋_GB2312" w:eastAsia="仿宋_GB2312" w:cs="仿宋_GB2312"/>
          <w:bCs/>
          <w:kern w:val="0"/>
          <w:sz w:val="32"/>
          <w:szCs w:val="32"/>
        </w:rPr>
        <w:t>六、一般公共预算财政拨款基本支出决算情况说明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"_Toc21518" </w:instrText>
      </w:r>
      <w:r>
        <w:fldChar w:fldCharType="separate"/>
      </w:r>
      <w:r>
        <w:rPr>
          <w:rFonts w:hint="eastAsia" w:ascii="仿宋_GB2312" w:hAnsi="仿宋_GB2312" w:eastAsia="仿宋_GB2312" w:cs="仿宋_GB2312"/>
          <w:bCs/>
          <w:kern w:val="0"/>
          <w:sz w:val="32"/>
          <w:szCs w:val="32"/>
        </w:rPr>
        <w:t>七、一般公共预算财政拨款“三公”经费支出决算情况说明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"_Toc5810" </w:instrText>
      </w:r>
      <w:r>
        <w:fldChar w:fldCharType="separate"/>
      </w:r>
      <w:r>
        <w:rPr>
          <w:rFonts w:hint="eastAsia" w:ascii="仿宋_GB2312" w:hAnsi="仿宋_GB2312" w:eastAsia="仿宋_GB2312" w:cs="仿宋_GB2312"/>
          <w:bCs/>
          <w:kern w:val="0"/>
          <w:sz w:val="32"/>
          <w:szCs w:val="32"/>
        </w:rPr>
        <w:t>八、政府性基金预算收入支出决算情况说明</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"_Toc1235" </w:instrText>
      </w:r>
      <w:r>
        <w:fldChar w:fldCharType="separate"/>
      </w:r>
      <w:r>
        <w:rPr>
          <w:rFonts w:hint="eastAsia" w:ascii="仿宋_GB2312" w:hAnsi="仿宋_GB2312" w:eastAsia="仿宋_GB2312" w:cs="仿宋_GB2312"/>
          <w:bCs/>
          <w:kern w:val="0"/>
          <w:sz w:val="32"/>
          <w:szCs w:val="32"/>
        </w:rPr>
        <w:t>九、其他重要事项的情况说明</w:t>
      </w:r>
      <w:r>
        <w:rPr>
          <w:rFonts w:hint="eastAsia" w:ascii="仿宋_GB2312" w:hAnsi="仿宋_GB2312" w:eastAsia="仿宋_GB2312" w:cs="仿宋_GB2312"/>
          <w:bCs/>
          <w:kern w:val="0"/>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"_Toc14519" </w:instrText>
      </w:r>
      <w:r>
        <w:fldChar w:fldCharType="separate"/>
      </w:r>
      <w:r>
        <w:rPr>
          <w:rFonts w:hint="eastAsia" w:ascii="仿宋_GB2312" w:hAnsi="仿宋_GB2312" w:eastAsia="仿宋_GB2312" w:cs="仿宋_GB2312"/>
          <w:sz w:val="32"/>
          <w:szCs w:val="32"/>
        </w:rPr>
        <w:t>（一）机关运行经费支出情况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"_Toc227" </w:instrText>
      </w:r>
      <w:r>
        <w:fldChar w:fldCharType="separate"/>
      </w:r>
      <w:r>
        <w:rPr>
          <w:rFonts w:hint="eastAsia" w:ascii="仿宋_GB2312" w:hAnsi="仿宋_GB2312" w:eastAsia="仿宋_GB2312" w:cs="仿宋_GB2312"/>
          <w:sz w:val="32"/>
          <w:szCs w:val="32"/>
        </w:rPr>
        <w:t>（二）政府采购情况</w:t>
      </w:r>
      <w:r>
        <w:rPr>
          <w:rFonts w:hint="eastAsia" w:ascii="仿宋_GB2312" w:hAnsi="仿宋_GB2312" w:eastAsia="仿宋_GB2312" w:cs="仿宋_GB2312"/>
          <w:sz w:val="32"/>
          <w:szCs w:val="32"/>
        </w:rPr>
        <w:fldChar w:fldCharType="end"/>
      </w:r>
    </w:p>
    <w:p>
      <w:pPr>
        <w:pStyle w:val="3"/>
        <w:tabs>
          <w:tab w:val="right" w:pos="8306"/>
        </w:tabs>
        <w:ind w:left="0" w:leftChars="0"/>
        <w:rPr>
          <w:rFonts w:ascii="仿宋_GB2312" w:hAnsi="仿宋_GB2312" w:eastAsia="仿宋_GB2312" w:cs="仿宋_GB2312"/>
          <w:sz w:val="32"/>
          <w:szCs w:val="32"/>
        </w:rPr>
      </w:pPr>
      <w:r>
        <w:fldChar w:fldCharType="begin"/>
      </w:r>
      <w:r>
        <w:instrText xml:space="preserve"> HYPERLINK \l "_Toc8391" </w:instrText>
      </w:r>
      <w:r>
        <w:fldChar w:fldCharType="separate"/>
      </w:r>
      <w:r>
        <w:rPr>
          <w:rFonts w:hint="eastAsia" w:ascii="仿宋_GB2312" w:hAnsi="仿宋_GB2312" w:eastAsia="仿宋_GB2312" w:cs="仿宋_GB2312"/>
          <w:sz w:val="32"/>
          <w:szCs w:val="32"/>
        </w:rPr>
        <w:t>（三）国有资产占用情况说明</w:t>
      </w:r>
      <w:r>
        <w:rPr>
          <w:rFonts w:hint="eastAsia" w:ascii="仿宋_GB2312" w:hAnsi="仿宋_GB2312" w:eastAsia="仿宋_GB2312" w:cs="仿宋_GB2312"/>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"_Toc11283" </w:instrText>
      </w:r>
      <w:r>
        <w:fldChar w:fldCharType="separate"/>
      </w:r>
      <w:r>
        <w:rPr>
          <w:rFonts w:hint="eastAsia" w:ascii="仿宋_GB2312" w:hAnsi="仿宋_GB2312" w:eastAsia="仿宋_GB2312" w:cs="仿宋_GB2312"/>
          <w:bCs/>
          <w:kern w:val="0"/>
          <w:sz w:val="32"/>
          <w:szCs w:val="32"/>
        </w:rPr>
        <w:t>十、预算绩效的情况说明</w:t>
      </w:r>
      <w:r>
        <w:rPr>
          <w:rFonts w:hint="eastAsia" w:ascii="仿宋_GB2312" w:hAnsi="仿宋_GB2312" w:eastAsia="仿宋_GB2312" w:cs="仿宋_GB2312"/>
          <w:bCs/>
          <w:kern w:val="0"/>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"_Toc3250" </w:instrText>
      </w:r>
      <w:r>
        <w:fldChar w:fldCharType="separate"/>
      </w:r>
      <w:r>
        <w:rPr>
          <w:rFonts w:hint="eastAsia" w:ascii="仿宋_GB2312" w:hAnsi="仿宋_GB2312" w:eastAsia="仿宋_GB2312" w:cs="仿宋_GB2312"/>
          <w:b/>
          <w:bCs/>
          <w:sz w:val="32"/>
          <w:szCs w:val="32"/>
        </w:rPr>
        <w:t>第三部分 专业名词解释</w:t>
      </w:r>
      <w:r>
        <w:rPr>
          <w:rFonts w:hint="eastAsia" w:ascii="仿宋_GB2312" w:hAnsi="仿宋_GB2312" w:eastAsia="仿宋_GB2312" w:cs="仿宋_GB2312"/>
          <w:b/>
          <w:bCs/>
          <w:sz w:val="32"/>
          <w:szCs w:val="32"/>
        </w:rPr>
        <w:fldChar w:fldCharType="end"/>
      </w:r>
    </w:p>
    <w:p>
      <w:pPr>
        <w:pStyle w:val="6"/>
        <w:tabs>
          <w:tab w:val="right" w:pos="8306"/>
        </w:tabs>
        <w:rPr>
          <w:rFonts w:ascii="仿宋_GB2312" w:hAnsi="仿宋_GB2312" w:eastAsia="仿宋_GB2312" w:cs="仿宋_GB2312"/>
          <w:b/>
          <w:bCs/>
          <w:sz w:val="32"/>
          <w:szCs w:val="32"/>
        </w:rPr>
      </w:pPr>
      <w:r>
        <w:fldChar w:fldCharType="begin"/>
      </w:r>
      <w:r>
        <w:instrText xml:space="preserve"> HYPERLINK \l "_Toc22784" </w:instrText>
      </w:r>
      <w:r>
        <w:fldChar w:fldCharType="separate"/>
      </w:r>
      <w:r>
        <w:rPr>
          <w:rFonts w:hint="eastAsia" w:ascii="仿宋_GB2312" w:hAnsi="仿宋_GB2312" w:eastAsia="仿宋_GB2312" w:cs="仿宋_GB2312"/>
          <w:b/>
          <w:bCs/>
          <w:sz w:val="32"/>
          <w:szCs w:val="32"/>
        </w:rPr>
        <w:t>第四部分 部门决算报表（见附表）</w:t>
      </w:r>
      <w:r>
        <w:rPr>
          <w:rFonts w:hint="eastAsia" w:ascii="仿宋_GB2312" w:hAnsi="仿宋_GB2312" w:eastAsia="仿宋_GB2312" w:cs="仿宋_GB2312"/>
          <w:b/>
          <w:bCs/>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"_Toc2183" </w:instrText>
      </w:r>
      <w:r>
        <w:fldChar w:fldCharType="separate"/>
      </w:r>
      <w:r>
        <w:rPr>
          <w:rFonts w:hint="eastAsia" w:ascii="仿宋_GB2312" w:hAnsi="仿宋_GB2312" w:eastAsia="仿宋_GB2312" w:cs="仿宋_GB2312"/>
          <w:bCs/>
          <w:kern w:val="0"/>
          <w:sz w:val="32"/>
          <w:szCs w:val="32"/>
        </w:rPr>
        <w:t>一、《收入支出决算总表》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"_Toc24532" </w:instrText>
      </w:r>
      <w:r>
        <w:fldChar w:fldCharType="separate"/>
      </w:r>
      <w:r>
        <w:rPr>
          <w:rFonts w:hint="eastAsia" w:ascii="仿宋_GB2312" w:hAnsi="仿宋_GB2312" w:eastAsia="仿宋_GB2312" w:cs="仿宋_GB2312"/>
          <w:bCs/>
          <w:kern w:val="0"/>
          <w:sz w:val="32"/>
          <w:szCs w:val="32"/>
        </w:rPr>
        <w:t>二、《收入决算表》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"_Toc32434" </w:instrText>
      </w:r>
      <w:r>
        <w:fldChar w:fldCharType="separate"/>
      </w:r>
      <w:r>
        <w:rPr>
          <w:rFonts w:hint="eastAsia" w:ascii="仿宋_GB2312" w:hAnsi="仿宋_GB2312" w:eastAsia="仿宋_GB2312" w:cs="仿宋_GB2312"/>
          <w:bCs/>
          <w:kern w:val="0"/>
          <w:sz w:val="32"/>
          <w:szCs w:val="32"/>
        </w:rPr>
        <w:t>三、《支出决算表》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"_Toc28786" </w:instrText>
      </w:r>
      <w:r>
        <w:fldChar w:fldCharType="separate"/>
      </w:r>
      <w:r>
        <w:rPr>
          <w:rFonts w:hint="eastAsia" w:ascii="仿宋_GB2312" w:hAnsi="仿宋_GB2312" w:eastAsia="仿宋_GB2312" w:cs="仿宋_GB2312"/>
          <w:bCs/>
          <w:kern w:val="0"/>
          <w:sz w:val="32"/>
          <w:szCs w:val="32"/>
        </w:rPr>
        <w:t>四、《财政拨款收入支出决算总表》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"_Toc14869" </w:instrText>
      </w:r>
      <w:r>
        <w:fldChar w:fldCharType="separate"/>
      </w:r>
      <w:r>
        <w:rPr>
          <w:rFonts w:hint="eastAsia" w:ascii="仿宋_GB2312" w:hAnsi="仿宋_GB2312" w:eastAsia="仿宋_GB2312" w:cs="仿宋_GB2312"/>
          <w:bCs/>
          <w:kern w:val="0"/>
          <w:sz w:val="32"/>
          <w:szCs w:val="32"/>
        </w:rPr>
        <w:t>五、《一般公共预算财政拨款支出决算表》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"_Toc8884" </w:instrText>
      </w:r>
      <w:r>
        <w:fldChar w:fldCharType="separate"/>
      </w:r>
      <w:r>
        <w:rPr>
          <w:rFonts w:hint="eastAsia" w:ascii="仿宋_GB2312" w:hAnsi="仿宋_GB2312" w:eastAsia="仿宋_GB2312" w:cs="仿宋_GB2312"/>
          <w:bCs/>
          <w:kern w:val="0"/>
          <w:sz w:val="32"/>
          <w:szCs w:val="32"/>
        </w:rPr>
        <w:t>六、《一般公共预算财政拨款基本支出决算表》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"_Toc29106" </w:instrText>
      </w:r>
      <w:r>
        <w:fldChar w:fldCharType="separate"/>
      </w:r>
      <w:r>
        <w:rPr>
          <w:rFonts w:hint="eastAsia" w:ascii="仿宋_GB2312" w:hAnsi="仿宋_GB2312" w:eastAsia="仿宋_GB2312" w:cs="仿宋_GB2312"/>
          <w:bCs/>
          <w:kern w:val="0"/>
          <w:sz w:val="32"/>
          <w:szCs w:val="32"/>
        </w:rPr>
        <w:t>七、《一般公共预算财政拨款“三公”经费支出决算表》</w:t>
      </w:r>
      <w:r>
        <w:rPr>
          <w:rFonts w:hint="eastAsia" w:ascii="仿宋_GB2312" w:hAnsi="仿宋_GB2312" w:eastAsia="仿宋_GB2312" w:cs="仿宋_GB2312"/>
          <w:bCs/>
          <w:kern w:val="0"/>
          <w:sz w:val="32"/>
          <w:szCs w:val="32"/>
        </w:rPr>
        <w:fldChar w:fldCharType="end"/>
      </w:r>
    </w:p>
    <w:p>
      <w:pPr>
        <w:pStyle w:val="7"/>
        <w:tabs>
          <w:tab w:val="right" w:pos="8306"/>
        </w:tabs>
        <w:ind w:left="0" w:leftChars="0"/>
        <w:rPr>
          <w:rFonts w:ascii="仿宋_GB2312" w:hAnsi="仿宋_GB2312" w:eastAsia="仿宋_GB2312" w:cs="仿宋_GB2312"/>
          <w:sz w:val="32"/>
          <w:szCs w:val="32"/>
        </w:rPr>
      </w:pPr>
      <w:r>
        <w:fldChar w:fldCharType="begin"/>
      </w:r>
      <w:r>
        <w:instrText xml:space="preserve"> HYPERLINK \l "_Toc7643" </w:instrText>
      </w:r>
      <w:r>
        <w:fldChar w:fldCharType="separate"/>
      </w:r>
      <w:r>
        <w:rPr>
          <w:rFonts w:hint="eastAsia" w:ascii="仿宋_GB2312" w:hAnsi="仿宋_GB2312" w:eastAsia="仿宋_GB2312" w:cs="仿宋_GB2312"/>
          <w:bCs/>
          <w:kern w:val="0"/>
          <w:sz w:val="32"/>
          <w:szCs w:val="32"/>
        </w:rPr>
        <w:t>八、《政府性基金预算财政拨款收入支出决算表》</w:t>
      </w:r>
      <w:r>
        <w:rPr>
          <w:rFonts w:hint="eastAsia" w:ascii="仿宋_GB2312" w:hAnsi="仿宋_GB2312" w:eastAsia="仿宋_GB2312" w:cs="仿宋_GB2312"/>
          <w:bCs/>
          <w:kern w:val="0"/>
          <w:sz w:val="32"/>
          <w:szCs w:val="32"/>
        </w:rPr>
        <w:fldChar w:fldCharType="end"/>
      </w:r>
    </w:p>
    <w:p>
      <w:r>
        <w:rPr>
          <w:rFonts w:hint="eastAsia" w:ascii="仿宋_GB2312" w:hAnsi="仿宋_GB2312" w:eastAsia="仿宋_GB2312" w:cs="仿宋_GB2312"/>
          <w:sz w:val="32"/>
          <w:szCs w:val="32"/>
        </w:rPr>
        <w:fldChar w:fldCharType="end"/>
      </w:r>
    </w:p>
    <w:p>
      <w:pPr>
        <w:ind w:firstLine="640" w:firstLineChars="200"/>
        <w:jc w:val="center"/>
        <w:outlineLvl w:val="0"/>
        <w:rPr>
          <w:rFonts w:ascii="黑体" w:hAnsi="黑体" w:eastAsia="黑体"/>
          <w:sz w:val="32"/>
          <w:szCs w:val="32"/>
        </w:rPr>
      </w:pPr>
      <w:r>
        <w:rPr>
          <w:rFonts w:hint="eastAsia" w:ascii="仿宋_GB2312" w:eastAsia="仿宋_GB2312"/>
          <w:sz w:val="32"/>
          <w:szCs w:val="32"/>
        </w:rPr>
        <w:br w:type="page"/>
      </w:r>
      <w:bookmarkStart w:id="0" w:name="_Toc24028"/>
      <w:bookmarkStart w:id="1" w:name="_Toc32314"/>
      <w:r>
        <w:rPr>
          <w:rFonts w:hint="eastAsia" w:ascii="黑体" w:hAnsi="黑体" w:eastAsia="黑体"/>
          <w:sz w:val="32"/>
          <w:szCs w:val="32"/>
        </w:rPr>
        <w:t>第一部分 部门单位概况</w:t>
      </w:r>
      <w:bookmarkEnd w:id="0"/>
      <w:bookmarkEnd w:id="1"/>
    </w:p>
    <w:p>
      <w:pPr>
        <w:ind w:firstLine="640" w:firstLineChars="200"/>
        <w:outlineLvl w:val="1"/>
        <w:rPr>
          <w:rFonts w:ascii="黑体" w:hAnsi="黑体" w:eastAsia="黑体" w:cs="宋体"/>
          <w:bCs/>
          <w:kern w:val="0"/>
          <w:sz w:val="32"/>
          <w:szCs w:val="32"/>
        </w:rPr>
      </w:pPr>
      <w:bookmarkStart w:id="2" w:name="_Toc30567"/>
      <w:bookmarkStart w:id="3" w:name="_Toc30738"/>
      <w:r>
        <w:rPr>
          <w:rFonts w:hint="eastAsia" w:ascii="黑体" w:hAnsi="黑体" w:eastAsia="黑体" w:cs="宋体"/>
          <w:bCs/>
          <w:kern w:val="0"/>
          <w:sz w:val="32"/>
          <w:szCs w:val="32"/>
        </w:rPr>
        <w:t>一、主要职能</w:t>
      </w:r>
      <w:bookmarkEnd w:id="2"/>
      <w:bookmarkEnd w:id="3"/>
    </w:p>
    <w:p>
      <w:pPr>
        <w:rPr>
          <w:rFonts w:ascii="仿宋_GB2312" w:eastAsia="仿宋_GB2312"/>
          <w:sz w:val="32"/>
          <w:szCs w:val="32"/>
        </w:rPr>
      </w:pPr>
      <w:r>
        <w:rPr>
          <w:rFonts w:hint="eastAsia" w:ascii="仿宋_GB2312" w:eastAsia="仿宋_GB2312"/>
          <w:sz w:val="32"/>
          <w:szCs w:val="32"/>
        </w:rPr>
        <w:t xml:space="preserve">    1、制定本地区防震减灾工作的方针、政策。</w:t>
      </w:r>
      <w:r>
        <w:rPr>
          <w:rFonts w:hint="eastAsia" w:ascii="仿宋_GB2312" w:eastAsia="仿宋_GB2312"/>
          <w:sz w:val="32"/>
          <w:szCs w:val="32"/>
        </w:rPr>
        <w:br w:type="textWrapping"/>
      </w:r>
      <w:r>
        <w:rPr>
          <w:rFonts w:hint="eastAsia" w:ascii="仿宋_GB2312" w:eastAsia="仿宋_GB2312"/>
          <w:sz w:val="32"/>
          <w:szCs w:val="32"/>
        </w:rPr>
        <w:t xml:space="preserve">    2、制定本地区防震减灾事业发展规划，编制年度计划并组织实施。</w:t>
      </w:r>
      <w:r>
        <w:rPr>
          <w:rFonts w:hint="eastAsia" w:ascii="仿宋_GB2312" w:eastAsia="仿宋_GB2312"/>
          <w:sz w:val="32"/>
          <w:szCs w:val="32"/>
        </w:rPr>
        <w:br w:type="textWrapping"/>
      </w:r>
      <w:r>
        <w:rPr>
          <w:rFonts w:hint="eastAsia" w:ascii="仿宋_GB2312" w:eastAsia="仿宋_GB2312"/>
          <w:sz w:val="32"/>
          <w:szCs w:val="32"/>
        </w:rPr>
        <w:t xml:space="preserve">    3、管理本地区地方地震监测台网和地震预报工作。负责提出本地区地震趋势预报意见，负责震情速报和地震灾情速报。组织大震现场科学考察。</w:t>
      </w:r>
      <w:r>
        <w:rPr>
          <w:rFonts w:hint="eastAsia" w:ascii="仿宋_GB2312" w:eastAsia="仿宋_GB2312"/>
          <w:sz w:val="32"/>
          <w:szCs w:val="32"/>
        </w:rPr>
        <w:br w:type="textWrapping"/>
      </w:r>
      <w:r>
        <w:rPr>
          <w:rFonts w:hint="eastAsia" w:ascii="仿宋_GB2312" w:eastAsia="仿宋_GB2312"/>
          <w:sz w:val="32"/>
          <w:szCs w:val="32"/>
        </w:rPr>
        <w:t xml:space="preserve">    4、承担本地区防震减灾工作领导小组办公室工作，发生破坏性地震时，承担本地政府抗震救灾指挥机关办事机构的职责。</w:t>
      </w:r>
      <w:r>
        <w:rPr>
          <w:rFonts w:hint="eastAsia" w:ascii="仿宋_GB2312" w:eastAsia="仿宋_GB2312"/>
          <w:sz w:val="32"/>
          <w:szCs w:val="32"/>
        </w:rPr>
        <w:br w:type="textWrapping"/>
      </w:r>
      <w:r>
        <w:rPr>
          <w:rFonts w:hint="eastAsia" w:ascii="仿宋_GB2312" w:eastAsia="仿宋_GB2312"/>
          <w:sz w:val="32"/>
          <w:szCs w:val="32"/>
        </w:rPr>
        <w:t xml:space="preserve">    5、负责本地区地震应急管理，会同有关部门拟定破坏性地震应急预案、综合防御措施，检查督促其落实。组织参与地震灾害损失评估和制定地震灾区重建规划。</w:t>
      </w:r>
      <w:r>
        <w:rPr>
          <w:rFonts w:hint="eastAsia" w:ascii="仿宋_GB2312" w:eastAsia="仿宋_GB2312"/>
          <w:sz w:val="32"/>
          <w:szCs w:val="32"/>
        </w:rPr>
        <w:br w:type="textWrapping"/>
      </w:r>
      <w:r>
        <w:rPr>
          <w:rFonts w:hint="eastAsia" w:ascii="仿宋_GB2312" w:eastAsia="仿宋_GB2312"/>
          <w:sz w:val="32"/>
          <w:szCs w:val="32"/>
        </w:rPr>
        <w:t xml:space="preserve">    6、管理本地区地震灾害预测工作及地震安全性评价工作，负责本地区地震安全性评价登记、管理工作。</w:t>
      </w:r>
      <w:r>
        <w:rPr>
          <w:rFonts w:hint="eastAsia" w:ascii="仿宋_GB2312" w:eastAsia="仿宋_GB2312"/>
          <w:sz w:val="32"/>
          <w:szCs w:val="32"/>
        </w:rPr>
        <w:br w:type="textWrapping"/>
      </w:r>
      <w:r>
        <w:rPr>
          <w:rFonts w:hint="eastAsia" w:ascii="仿宋_GB2312" w:eastAsia="仿宋_GB2312"/>
          <w:sz w:val="32"/>
          <w:szCs w:val="32"/>
        </w:rPr>
        <w:t xml:space="preserve">    7、管理以地震动参数和烈度表述的抗震设防标准，审核、监督本地区重点工程项目场地的抗震设防标准的实施。</w:t>
      </w:r>
      <w:r>
        <w:rPr>
          <w:rFonts w:hint="eastAsia" w:ascii="仿宋_GB2312" w:eastAsia="仿宋_GB2312"/>
          <w:sz w:val="32"/>
          <w:szCs w:val="32"/>
        </w:rPr>
        <w:br w:type="textWrapping"/>
      </w:r>
      <w:r>
        <w:rPr>
          <w:rFonts w:hint="eastAsia" w:ascii="仿宋_GB2312" w:eastAsia="仿宋_GB2312"/>
          <w:sz w:val="32"/>
          <w:szCs w:val="32"/>
        </w:rPr>
        <w:t xml:space="preserve">    8、推进地震科技现代化，组织管理本地区防震减灾科技成果的研究与推广工作。</w:t>
      </w:r>
      <w:r>
        <w:rPr>
          <w:rFonts w:hint="eastAsia" w:ascii="仿宋_GB2312" w:eastAsia="仿宋_GB2312"/>
          <w:sz w:val="32"/>
          <w:szCs w:val="32"/>
        </w:rPr>
        <w:br w:type="textWrapping"/>
      </w:r>
      <w:r>
        <w:rPr>
          <w:rFonts w:hint="eastAsia" w:ascii="仿宋_GB2312" w:eastAsia="仿宋_GB2312"/>
          <w:sz w:val="32"/>
          <w:szCs w:val="32"/>
        </w:rPr>
        <w:t xml:space="preserve">    9、开展防震减灾宣传教育工作，普及防震减灾知识，提高全社会的减灾意识。</w:t>
      </w:r>
      <w:r>
        <w:rPr>
          <w:rFonts w:hint="eastAsia" w:ascii="仿宋_GB2312" w:eastAsia="仿宋_GB2312"/>
          <w:sz w:val="32"/>
          <w:szCs w:val="32"/>
        </w:rPr>
        <w:br w:type="textWrapping"/>
      </w:r>
      <w:r>
        <w:rPr>
          <w:rFonts w:hint="eastAsia" w:ascii="仿宋_GB2312" w:eastAsia="仿宋_GB2312"/>
          <w:sz w:val="32"/>
          <w:szCs w:val="32"/>
        </w:rPr>
        <w:t xml:space="preserve">    10、承担地委、行署及上级地震主管部门交办的任务。</w:t>
      </w:r>
    </w:p>
    <w:p>
      <w:pPr>
        <w:ind w:firstLine="640" w:firstLineChars="200"/>
        <w:outlineLvl w:val="1"/>
        <w:rPr>
          <w:rFonts w:ascii="黑体" w:hAnsi="黑体" w:eastAsia="黑体" w:cs="宋体"/>
          <w:bCs/>
          <w:kern w:val="0"/>
          <w:sz w:val="32"/>
          <w:szCs w:val="32"/>
        </w:rPr>
      </w:pPr>
      <w:bookmarkStart w:id="4" w:name="_Toc31238"/>
      <w:bookmarkStart w:id="5" w:name="_Toc2151"/>
      <w:r>
        <w:rPr>
          <w:rFonts w:hint="eastAsia" w:ascii="黑体" w:hAnsi="黑体" w:eastAsia="黑体" w:cs="宋体"/>
          <w:bCs/>
          <w:kern w:val="0"/>
          <w:sz w:val="32"/>
          <w:szCs w:val="32"/>
        </w:rPr>
        <w:t>二、机构设置及</w:t>
      </w:r>
      <w:bookmarkEnd w:id="4"/>
      <w:r>
        <w:rPr>
          <w:rFonts w:hint="eastAsia" w:ascii="黑体" w:hAnsi="黑体" w:eastAsia="黑体" w:cs="宋体"/>
          <w:bCs/>
          <w:kern w:val="0"/>
          <w:sz w:val="32"/>
          <w:szCs w:val="32"/>
        </w:rPr>
        <w:t>人员情况</w:t>
      </w:r>
      <w:bookmarkEnd w:id="5"/>
    </w:p>
    <w:p>
      <w:pPr>
        <w:ind w:firstLine="640" w:firstLineChars="200"/>
      </w:pPr>
      <w:r>
        <w:rPr>
          <w:rFonts w:hint="eastAsia" w:ascii="仿宋_GB2312" w:eastAsia="仿宋_GB2312"/>
          <w:sz w:val="32"/>
          <w:szCs w:val="32"/>
        </w:rPr>
        <w:t>新疆喀什地区地震局2</w:t>
      </w:r>
      <w:r>
        <w:rPr>
          <w:rFonts w:ascii="仿宋_GB2312" w:eastAsia="仿宋_GB2312"/>
          <w:sz w:val="32"/>
          <w:szCs w:val="32"/>
        </w:rPr>
        <w:t>019</w:t>
      </w:r>
      <w:r>
        <w:rPr>
          <w:rFonts w:hint="eastAsia" w:ascii="仿宋_GB2312" w:eastAsia="仿宋_GB2312"/>
          <w:sz w:val="32"/>
          <w:szCs w:val="32"/>
        </w:rPr>
        <w:t>年度，实有人数23人，其中：在职人员12人，离休人员0人，退休人员11人。</w:t>
      </w:r>
    </w:p>
    <w:p>
      <w:pPr>
        <w:ind w:firstLine="640" w:firstLineChars="200"/>
        <w:rPr>
          <w:rFonts w:ascii="仿宋_GB2312" w:eastAsia="仿宋_GB2312"/>
          <w:sz w:val="32"/>
          <w:szCs w:val="32"/>
        </w:rPr>
      </w:pPr>
      <w:r>
        <w:rPr>
          <w:rFonts w:hint="eastAsia" w:ascii="仿宋_GB2312" w:eastAsia="仿宋_GB2312"/>
          <w:sz w:val="32"/>
          <w:szCs w:val="32"/>
        </w:rPr>
        <w:t>从部门决算单位构成看，新疆喀什地区地震局部门决算包括：新疆喀什地区地震局决算。</w:t>
      </w:r>
    </w:p>
    <w:p>
      <w:pPr>
        <w:ind w:firstLine="640" w:firstLineChars="200"/>
        <w:jc w:val="center"/>
        <w:outlineLvl w:val="0"/>
        <w:rPr>
          <w:rFonts w:ascii="黑体" w:hAnsi="黑体" w:eastAsia="黑体"/>
          <w:sz w:val="32"/>
          <w:szCs w:val="32"/>
        </w:rPr>
      </w:pPr>
      <w:bookmarkStart w:id="6" w:name="_Toc29374"/>
      <w:bookmarkStart w:id="7" w:name="_Toc3092"/>
      <w:r>
        <w:rPr>
          <w:rFonts w:hint="eastAsia" w:ascii="黑体" w:hAnsi="黑体" w:eastAsia="黑体"/>
          <w:sz w:val="32"/>
          <w:szCs w:val="32"/>
        </w:rPr>
        <w:t>第二部分 部门决算情况说明</w:t>
      </w:r>
      <w:bookmarkEnd w:id="6"/>
      <w:bookmarkEnd w:id="7"/>
    </w:p>
    <w:p>
      <w:pPr>
        <w:ind w:firstLine="640" w:firstLineChars="200"/>
        <w:outlineLvl w:val="1"/>
        <w:rPr>
          <w:rFonts w:ascii="黑体" w:hAnsi="黑体" w:eastAsia="黑体" w:cs="宋体"/>
          <w:bCs/>
          <w:kern w:val="0"/>
          <w:sz w:val="32"/>
          <w:szCs w:val="32"/>
        </w:rPr>
      </w:pPr>
      <w:bookmarkStart w:id="8" w:name="_Toc12566"/>
      <w:bookmarkStart w:id="9" w:name="_Toc25314"/>
      <w:r>
        <w:rPr>
          <w:rFonts w:hint="eastAsia" w:ascii="黑体" w:hAnsi="黑体" w:eastAsia="黑体" w:cs="宋体"/>
          <w:bCs/>
          <w:kern w:val="0"/>
          <w:sz w:val="32"/>
          <w:szCs w:val="32"/>
        </w:rPr>
        <w:t>一、收入支出决算总体情况说明</w:t>
      </w:r>
      <w:bookmarkEnd w:id="8"/>
      <w:bookmarkEnd w:id="9"/>
    </w:p>
    <w:p>
      <w:pPr>
        <w:ind w:firstLine="640" w:firstLineChars="200"/>
        <w:rPr>
          <w:rFonts w:ascii="仿宋_GB2312" w:eastAsia="仿宋_GB2312"/>
          <w:sz w:val="32"/>
          <w:szCs w:val="32"/>
        </w:rPr>
      </w:pPr>
      <w:r>
        <w:rPr>
          <w:rFonts w:hint="eastAsia" w:ascii="仿宋_GB2312" w:eastAsia="仿宋_GB2312"/>
          <w:sz w:val="32"/>
          <w:szCs w:val="32"/>
        </w:rPr>
        <w:t>2019年度本年收入243.11万元，与上年相比，减少4.67万元，下降1.88%，主要原因是：</w:t>
      </w:r>
      <w:r>
        <w:rPr>
          <w:rFonts w:hint="eastAsia" w:ascii="仿宋_GB2312" w:eastAsia="仿宋_GB2312"/>
          <w:color w:val="000000" w:themeColor="text1"/>
          <w:sz w:val="32"/>
          <w:szCs w:val="32"/>
          <w14:textFill>
            <w14:solidFill>
              <w14:schemeClr w14:val="tx1"/>
            </w14:solidFill>
          </w14:textFill>
        </w:rPr>
        <w:t>本年项目资金减少。</w:t>
      </w:r>
      <w:r>
        <w:rPr>
          <w:rFonts w:hint="eastAsia" w:ascii="仿宋_GB2312" w:eastAsia="仿宋_GB2312"/>
          <w:sz w:val="32"/>
          <w:szCs w:val="32"/>
        </w:rPr>
        <w:t>本年支出341.11万元，与上年相比，增加110.09万元，增长47.65%，主要原因是：</w:t>
      </w:r>
      <w:r>
        <w:rPr>
          <w:rFonts w:hint="eastAsia" w:ascii="仿宋_GB2312" w:eastAsia="仿宋_GB2312"/>
          <w:color w:val="000000" w:themeColor="text1"/>
          <w:sz w:val="32"/>
          <w:szCs w:val="32"/>
          <w14:textFill>
            <w14:solidFill>
              <w14:schemeClr w14:val="tx1"/>
            </w14:solidFill>
          </w14:textFill>
        </w:rPr>
        <w:t>上年项目本年实施，地震预测预报支出费用增加，办公费用增加及人员调入所致。</w:t>
      </w:r>
    </w:p>
    <w:p>
      <w:pPr>
        <w:ind w:firstLine="640" w:firstLineChars="200"/>
        <w:outlineLvl w:val="1"/>
        <w:rPr>
          <w:rFonts w:ascii="黑体" w:hAnsi="黑体" w:eastAsia="黑体" w:cs="宋体"/>
          <w:bCs/>
          <w:kern w:val="0"/>
          <w:sz w:val="32"/>
          <w:szCs w:val="32"/>
        </w:rPr>
      </w:pPr>
      <w:bookmarkStart w:id="10" w:name="_Toc1979"/>
      <w:bookmarkStart w:id="11" w:name="_Toc12142"/>
      <w:r>
        <w:rPr>
          <w:rFonts w:hint="eastAsia" w:ascii="黑体" w:hAnsi="黑体" w:eastAsia="黑体" w:cs="宋体"/>
          <w:bCs/>
          <w:kern w:val="0"/>
          <w:sz w:val="32"/>
          <w:szCs w:val="32"/>
        </w:rPr>
        <w:t>二、收入决算情况说明</w:t>
      </w:r>
      <w:bookmarkEnd w:id="10"/>
      <w:bookmarkEnd w:id="11"/>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年度本年收入243.11万元，其中：财政拨款收入229.11万元，占94.24%；上级补助收入0万元，占0%；事业收入0万元，占0%；经营收入0万元，占0%；附属单位上缴收入0万元，占0%；其他收入14万元，占5.76%。</w:t>
      </w:r>
    </w:p>
    <w:p>
      <w:pPr>
        <w:ind w:firstLine="640" w:firstLineChars="200"/>
        <w:outlineLvl w:val="1"/>
        <w:rPr>
          <w:rFonts w:ascii="黑体" w:hAnsi="黑体" w:eastAsia="黑体" w:cs="宋体"/>
          <w:bCs/>
          <w:kern w:val="0"/>
          <w:sz w:val="32"/>
          <w:szCs w:val="32"/>
        </w:rPr>
      </w:pPr>
      <w:bookmarkStart w:id="12" w:name="_Toc27961"/>
      <w:bookmarkStart w:id="13" w:name="_Toc13201"/>
      <w:r>
        <w:rPr>
          <w:rFonts w:hint="eastAsia" w:ascii="黑体" w:hAnsi="黑体" w:eastAsia="黑体" w:cs="宋体"/>
          <w:bCs/>
          <w:kern w:val="0"/>
          <w:sz w:val="32"/>
          <w:szCs w:val="32"/>
        </w:rPr>
        <w:t>三、支出决算情况说明</w:t>
      </w:r>
      <w:bookmarkEnd w:id="12"/>
      <w:bookmarkEnd w:id="13"/>
    </w:p>
    <w:p>
      <w:pPr>
        <w:ind w:firstLine="640" w:firstLineChars="200"/>
        <w:rPr>
          <w:rFonts w:ascii="仿宋_GB2312" w:eastAsia="仿宋_GB2312"/>
          <w:sz w:val="32"/>
          <w:szCs w:val="32"/>
        </w:rPr>
      </w:pPr>
      <w:r>
        <w:rPr>
          <w:rFonts w:hint="eastAsia" w:ascii="仿宋_GB2312" w:eastAsia="仿宋_GB2312"/>
          <w:sz w:val="32"/>
          <w:szCs w:val="32"/>
        </w:rPr>
        <w:t>2019年度本年支出341.11万元，其中：基本支出221.70万元，占64.99%；项目支出119.41万元，占35.01%；上缴上级支出0万元，占0%；经营支出0万元，占0%；对附属单位补助支出0万元，占0%。</w:t>
      </w:r>
    </w:p>
    <w:p>
      <w:pPr>
        <w:ind w:firstLine="640" w:firstLineChars="200"/>
        <w:outlineLvl w:val="1"/>
        <w:rPr>
          <w:rFonts w:ascii="黑体" w:hAnsi="黑体" w:eastAsia="黑体" w:cs="宋体"/>
          <w:bCs/>
          <w:kern w:val="0"/>
          <w:sz w:val="32"/>
          <w:szCs w:val="32"/>
        </w:rPr>
      </w:pPr>
      <w:bookmarkStart w:id="14" w:name="_Toc26564"/>
      <w:bookmarkStart w:id="15" w:name="_Toc4393"/>
      <w:r>
        <w:rPr>
          <w:rFonts w:hint="eastAsia" w:ascii="黑体" w:hAnsi="黑体" w:eastAsia="黑体" w:cs="宋体"/>
          <w:bCs/>
          <w:kern w:val="0"/>
          <w:sz w:val="32"/>
          <w:szCs w:val="32"/>
        </w:rPr>
        <w:t>四、财政拨款收入支出决算总体情况说明</w:t>
      </w:r>
      <w:bookmarkEnd w:id="14"/>
      <w:bookmarkEnd w:id="15"/>
    </w:p>
    <w:p>
      <w:pPr>
        <w:ind w:firstLine="640" w:firstLineChars="200"/>
        <w:rPr>
          <w:rFonts w:ascii="仿宋_GB2312" w:eastAsia="仿宋_GB2312"/>
          <w:sz w:val="32"/>
          <w:szCs w:val="32"/>
        </w:rPr>
      </w:pPr>
      <w:r>
        <w:rPr>
          <w:rFonts w:hint="eastAsia" w:ascii="仿宋_GB2312" w:eastAsia="仿宋_GB2312"/>
          <w:sz w:val="32"/>
          <w:szCs w:val="32"/>
        </w:rPr>
        <w:t>2019年度财政拨款收入229.11万元，与上年相比，增加8.49万元，增长3.85%，主要原因是：办公费用增大及人员调入所致。财政拨款支出228.68万元，与上年相比，增加6.62万元，增长2.98%，主要原因是：</w:t>
      </w:r>
      <w:r>
        <w:rPr>
          <w:rFonts w:ascii="仿宋_GB2312" w:eastAsia="仿宋_GB2312"/>
          <w:sz w:val="32"/>
          <w:szCs w:val="32"/>
        </w:rPr>
        <w:t>办公费用增大及人员调入所致。</w:t>
      </w:r>
    </w:p>
    <w:p>
      <w:pPr>
        <w:ind w:firstLine="640" w:firstLineChars="200"/>
        <w:rPr>
          <w:rFonts w:ascii="仿宋_GB2312" w:eastAsia="仿宋_GB2312"/>
          <w:sz w:val="32"/>
          <w:szCs w:val="32"/>
        </w:rPr>
      </w:pPr>
      <w:r>
        <w:rPr>
          <w:rFonts w:hint="eastAsia" w:ascii="仿宋_GB2312" w:eastAsia="仿宋_GB2312"/>
          <w:sz w:val="32"/>
          <w:szCs w:val="32"/>
        </w:rPr>
        <w:t>与年初预算数相比情况：财政拨款收入年初预算数</w:t>
      </w:r>
      <w:r>
        <w:rPr>
          <w:rFonts w:ascii="仿宋_GB2312" w:eastAsia="仿宋_GB2312"/>
          <w:color w:val="000000" w:themeColor="text1"/>
          <w:sz w:val="32"/>
          <w:szCs w:val="32"/>
          <w14:textFill>
            <w14:solidFill>
              <w14:schemeClr w14:val="tx1"/>
            </w14:solidFill>
          </w14:textFill>
        </w:rPr>
        <w:t>225.16</w:t>
      </w:r>
      <w:r>
        <w:rPr>
          <w:rFonts w:hint="eastAsia" w:ascii="仿宋_GB2312" w:eastAsia="仿宋_GB2312"/>
          <w:sz w:val="32"/>
          <w:szCs w:val="32"/>
        </w:rPr>
        <w:t>万元，决算数229.11万元</w:t>
      </w:r>
      <w:r>
        <w:rPr>
          <w:rFonts w:ascii="仿宋_GB2312" w:eastAsia="仿宋_GB2312"/>
          <w:color w:val="000000" w:themeColor="text1"/>
          <w:sz w:val="32"/>
          <w:szCs w:val="32"/>
          <w14:textFill>
            <w14:solidFill>
              <w14:schemeClr w14:val="tx1"/>
            </w14:solidFill>
          </w14:textFill>
        </w:rPr>
        <w:t>，预决算差异率1.75%，主要原因是：办公费用增大及人员调入所致。</w:t>
      </w:r>
      <w:r>
        <w:rPr>
          <w:rFonts w:hint="eastAsia" w:ascii="仿宋_GB2312" w:eastAsia="仿宋_GB2312"/>
          <w:sz w:val="32"/>
          <w:szCs w:val="32"/>
        </w:rPr>
        <w:t>财政拨款支出年初预算数</w:t>
      </w:r>
      <w:r>
        <w:rPr>
          <w:rFonts w:ascii="仿宋_GB2312" w:eastAsia="仿宋_GB2312"/>
          <w:color w:val="000000" w:themeColor="text1"/>
          <w:sz w:val="32"/>
          <w:szCs w:val="32"/>
          <w14:textFill>
            <w14:solidFill>
              <w14:schemeClr w14:val="tx1"/>
            </w14:solidFill>
          </w14:textFill>
        </w:rPr>
        <w:t>225.16</w:t>
      </w:r>
      <w:r>
        <w:rPr>
          <w:rFonts w:hint="eastAsia" w:ascii="仿宋_GB2312" w:eastAsia="仿宋_GB2312"/>
          <w:sz w:val="32"/>
          <w:szCs w:val="32"/>
        </w:rPr>
        <w:t>万元，决算数228.68万元</w:t>
      </w:r>
      <w:r>
        <w:rPr>
          <w:rFonts w:ascii="仿宋_GB2312" w:eastAsia="仿宋_GB2312"/>
          <w:color w:val="000000" w:themeColor="text1"/>
          <w:sz w:val="32"/>
          <w:szCs w:val="32"/>
          <w14:textFill>
            <w14:solidFill>
              <w14:schemeClr w14:val="tx1"/>
            </w14:solidFill>
          </w14:textFill>
        </w:rPr>
        <w:t>，预决算差异率1.56%，主要原因是：办公费用增大及人员调入所致。</w:t>
      </w:r>
    </w:p>
    <w:p>
      <w:pPr>
        <w:ind w:firstLine="640" w:firstLineChars="200"/>
        <w:outlineLvl w:val="1"/>
        <w:rPr>
          <w:rFonts w:ascii="黑体" w:hAnsi="黑体" w:eastAsia="黑体" w:cs="宋体"/>
          <w:bCs/>
          <w:kern w:val="0"/>
          <w:sz w:val="32"/>
          <w:szCs w:val="32"/>
        </w:rPr>
      </w:pPr>
      <w:bookmarkStart w:id="16" w:name="_Toc20360"/>
      <w:bookmarkStart w:id="17" w:name="_Toc13833"/>
      <w:r>
        <w:rPr>
          <w:rFonts w:hint="eastAsia" w:ascii="黑体" w:hAnsi="黑体" w:eastAsia="黑体" w:cs="宋体"/>
          <w:bCs/>
          <w:kern w:val="0"/>
          <w:sz w:val="32"/>
          <w:szCs w:val="32"/>
        </w:rPr>
        <w:t>五、一般公共预算财政拨款支出决算情况说明</w:t>
      </w:r>
      <w:bookmarkEnd w:id="16"/>
      <w:bookmarkEnd w:id="17"/>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年度一般公共预算财政拨款支出228.68万元。按功能分类科目项级科目公开，其中：</w:t>
      </w:r>
    </w:p>
    <w:p>
      <w:pPr>
        <w:rPr>
          <w:rFonts w:ascii="仿宋_GB2312" w:eastAsia="仿宋_GB2312"/>
          <w:sz w:val="32"/>
          <w:szCs w:val="32"/>
        </w:rPr>
      </w:pPr>
      <w:r>
        <w:rPr>
          <w:rFonts w:ascii="仿宋_GB2312" w:eastAsia="仿宋_GB2312"/>
          <w:sz w:val="32"/>
          <w:szCs w:val="32"/>
        </w:rPr>
        <w:t xml:space="preserve">   2050201学前教育支出2.60万元；</w:t>
      </w:r>
      <w:r>
        <w:rPr>
          <w:rFonts w:ascii="仿宋_GB2312" w:eastAsia="仿宋_GB2312"/>
          <w:sz w:val="32"/>
          <w:szCs w:val="32"/>
        </w:rPr>
        <w:br w:type="textWrapping"/>
      </w:r>
      <w:r>
        <w:rPr>
          <w:rFonts w:ascii="仿宋_GB2312" w:eastAsia="仿宋_GB2312"/>
          <w:sz w:val="32"/>
          <w:szCs w:val="32"/>
        </w:rPr>
        <w:t xml:space="preserve">   2080505机关事业单位基本养老保险缴费支出18.36万元；</w:t>
      </w:r>
      <w:r>
        <w:rPr>
          <w:rFonts w:ascii="仿宋_GB2312" w:eastAsia="仿宋_GB2312"/>
          <w:sz w:val="32"/>
          <w:szCs w:val="32"/>
        </w:rPr>
        <w:br w:type="textWrapping"/>
      </w:r>
      <w:r>
        <w:rPr>
          <w:rFonts w:ascii="仿宋_GB2312" w:eastAsia="仿宋_GB2312"/>
          <w:sz w:val="32"/>
          <w:szCs w:val="32"/>
        </w:rPr>
        <w:t xml:space="preserve">   2080506机关事业单位职业年金缴费支出7.29万元；</w:t>
      </w:r>
      <w:r>
        <w:rPr>
          <w:rFonts w:ascii="仿宋_GB2312" w:eastAsia="仿宋_GB2312"/>
          <w:sz w:val="32"/>
          <w:szCs w:val="32"/>
        </w:rPr>
        <w:br w:type="textWrapping"/>
      </w:r>
      <w:r>
        <w:rPr>
          <w:rFonts w:ascii="仿宋_GB2312" w:eastAsia="仿宋_GB2312"/>
          <w:sz w:val="32"/>
          <w:szCs w:val="32"/>
        </w:rPr>
        <w:t xml:space="preserve">   2210201住房公积金支出13.70万元；</w:t>
      </w:r>
      <w:r>
        <w:rPr>
          <w:rFonts w:ascii="仿宋_GB2312" w:eastAsia="仿宋_GB2312"/>
          <w:sz w:val="32"/>
          <w:szCs w:val="32"/>
        </w:rPr>
        <w:br w:type="textWrapping"/>
      </w:r>
      <w:r>
        <w:rPr>
          <w:rFonts w:ascii="仿宋_GB2312" w:eastAsia="仿宋_GB2312"/>
          <w:sz w:val="32"/>
          <w:szCs w:val="32"/>
        </w:rPr>
        <w:t xml:space="preserve">   2240501行政运行支出179.74万元；</w:t>
      </w:r>
      <w:r>
        <w:rPr>
          <w:rFonts w:ascii="仿宋_GB2312" w:eastAsia="仿宋_GB2312"/>
          <w:sz w:val="32"/>
          <w:szCs w:val="32"/>
        </w:rPr>
        <w:br w:type="textWrapping"/>
      </w:r>
      <w:r>
        <w:rPr>
          <w:rFonts w:ascii="仿宋_GB2312" w:eastAsia="仿宋_GB2312"/>
          <w:sz w:val="32"/>
          <w:szCs w:val="32"/>
        </w:rPr>
        <w:t xml:space="preserve">   2240505地震预测预报支出3.60万元；</w:t>
      </w:r>
      <w:r>
        <w:rPr>
          <w:rFonts w:ascii="仿宋_GB2312" w:eastAsia="仿宋_GB2312"/>
          <w:sz w:val="32"/>
          <w:szCs w:val="32"/>
        </w:rPr>
        <w:br w:type="textWrapping"/>
      </w:r>
      <w:r>
        <w:rPr>
          <w:rFonts w:ascii="仿宋_GB2312" w:eastAsia="仿宋_GB2312"/>
          <w:sz w:val="32"/>
          <w:szCs w:val="32"/>
        </w:rPr>
        <w:t xml:space="preserve">   2240550地震事业机构支出2.88万元；</w:t>
      </w:r>
      <w:r>
        <w:rPr>
          <w:rFonts w:ascii="仿宋_GB2312" w:eastAsia="仿宋_GB2312"/>
          <w:sz w:val="32"/>
          <w:szCs w:val="32"/>
        </w:rPr>
        <w:br w:type="textWrapping"/>
      </w:r>
      <w:r>
        <w:rPr>
          <w:rFonts w:ascii="仿宋_GB2312" w:eastAsia="仿宋_GB2312"/>
          <w:sz w:val="32"/>
          <w:szCs w:val="32"/>
        </w:rPr>
        <w:t xml:space="preserve">   2299901其他支出0.50万元。</w:t>
      </w:r>
    </w:p>
    <w:p>
      <w:pPr>
        <w:ind w:firstLine="640" w:firstLineChars="200"/>
        <w:outlineLvl w:val="1"/>
        <w:rPr>
          <w:rFonts w:ascii="黑体" w:hAnsi="黑体" w:eastAsia="黑体" w:cs="宋体"/>
          <w:bCs/>
          <w:kern w:val="0"/>
          <w:sz w:val="32"/>
          <w:szCs w:val="32"/>
        </w:rPr>
      </w:pPr>
      <w:bookmarkStart w:id="18" w:name="_Toc11146"/>
      <w:bookmarkStart w:id="19" w:name="_Toc30870"/>
      <w:r>
        <w:rPr>
          <w:rFonts w:hint="eastAsia" w:ascii="黑体" w:hAnsi="黑体" w:eastAsia="黑体" w:cs="宋体"/>
          <w:bCs/>
          <w:kern w:val="0"/>
          <w:sz w:val="32"/>
          <w:szCs w:val="32"/>
        </w:rPr>
        <w:t>六、一般公共预算财政拨款基本支出决算情况说明</w:t>
      </w:r>
      <w:bookmarkEnd w:id="18"/>
      <w:bookmarkEnd w:id="19"/>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年度一般公共预算财政拨款</w:t>
      </w:r>
      <w:bookmarkStart w:id="54" w:name="_GoBack"/>
      <w:bookmarkEnd w:id="54"/>
      <w:r>
        <w:rPr>
          <w:rFonts w:hint="eastAsia" w:ascii="仿宋_GB2312" w:eastAsia="仿宋_GB2312"/>
          <w:sz w:val="32"/>
          <w:szCs w:val="32"/>
        </w:rPr>
        <w:t>基本支出221.70万元，其中：</w:t>
      </w:r>
    </w:p>
    <w:p>
      <w:pPr>
        <w:ind w:firstLine="640" w:firstLineChars="200"/>
        <w:rPr>
          <w:rFonts w:ascii="仿宋_GB2312" w:eastAsia="仿宋_GB2312"/>
          <w:sz w:val="32"/>
          <w:szCs w:val="32"/>
        </w:rPr>
      </w:pPr>
      <w:r>
        <w:rPr>
          <w:rFonts w:hint="eastAsia" w:ascii="仿宋_GB2312" w:eastAsia="仿宋_GB2312"/>
          <w:sz w:val="32"/>
          <w:szCs w:val="32"/>
        </w:rPr>
        <w:t>人员经费215.05万元，包括：基本工资、津贴补贴、奖金、机关事业单位基本养老保险缴费、职业年金缴费、职工基本医疗保险缴费、公务员医疗补助缴费、其他社会保障缴费、住房公积金、生活补助。</w:t>
      </w:r>
    </w:p>
    <w:p>
      <w:pPr>
        <w:ind w:firstLine="640" w:firstLineChars="200"/>
        <w:rPr>
          <w:rFonts w:ascii="仿宋_GB2312" w:eastAsia="仿宋_GB2312"/>
          <w:sz w:val="32"/>
          <w:szCs w:val="32"/>
        </w:rPr>
      </w:pPr>
      <w:r>
        <w:rPr>
          <w:rFonts w:hint="eastAsia" w:ascii="仿宋_GB2312" w:eastAsia="仿宋_GB2312"/>
          <w:sz w:val="32"/>
          <w:szCs w:val="32"/>
        </w:rPr>
        <w:t>公用经费6.65万元，包括：办公费、取暖费、专用材料费、公务用车运行维护费、税金及附加费用、其他商品和服务支出</w:t>
      </w:r>
      <w:r>
        <w:rPr>
          <w:rFonts w:hint="eastAsia" w:ascii="仿宋_GB2312" w:eastAsia="仿宋_GB2312"/>
          <w:sz w:val="32"/>
          <w:szCs w:val="32"/>
          <w:lang w:eastAsia="zh-CN"/>
        </w:rPr>
        <w:t>、办公设备购置</w:t>
      </w:r>
      <w:r>
        <w:rPr>
          <w:rFonts w:hint="eastAsia" w:ascii="仿宋_GB2312" w:eastAsia="仿宋_GB2312"/>
          <w:sz w:val="32"/>
          <w:szCs w:val="32"/>
        </w:rPr>
        <w:t>。</w:t>
      </w:r>
    </w:p>
    <w:p>
      <w:pPr>
        <w:ind w:firstLine="640" w:firstLineChars="200"/>
        <w:outlineLvl w:val="1"/>
        <w:rPr>
          <w:rFonts w:ascii="黑体" w:hAnsi="黑体" w:eastAsia="黑体" w:cs="宋体"/>
          <w:bCs/>
          <w:kern w:val="0"/>
          <w:sz w:val="32"/>
          <w:szCs w:val="32"/>
        </w:rPr>
      </w:pPr>
      <w:bookmarkStart w:id="20" w:name="_Toc7190"/>
      <w:bookmarkStart w:id="21" w:name="_Toc21518"/>
      <w:r>
        <w:rPr>
          <w:rFonts w:hint="eastAsia" w:ascii="黑体" w:hAnsi="黑体" w:eastAsia="黑体" w:cs="宋体"/>
          <w:bCs/>
          <w:kern w:val="0"/>
          <w:sz w:val="32"/>
          <w:szCs w:val="32"/>
        </w:rPr>
        <w:t>七、一般公共预算财政拨款“三公”经费支出决算情况说明</w:t>
      </w:r>
      <w:bookmarkEnd w:id="20"/>
      <w:bookmarkEnd w:id="21"/>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年度一般公共预算“三公”经费支出决算0.69万元，比上年减少1.11万元，降低61.67%，主要原因是公务用车运行维护费0.69万元，日常因公用车事务减少，车辆</w:t>
      </w:r>
      <w:r>
        <w:rPr>
          <w:rFonts w:hint="eastAsia" w:ascii="仿宋_GB2312" w:eastAsia="仿宋_GB2312"/>
          <w:sz w:val="32"/>
          <w:szCs w:val="32"/>
          <w:lang w:eastAsia="zh-CN"/>
        </w:rPr>
        <w:t>运行</w:t>
      </w:r>
      <w:r>
        <w:rPr>
          <w:rFonts w:hint="eastAsia" w:ascii="仿宋_GB2312" w:eastAsia="仿宋_GB2312"/>
          <w:sz w:val="32"/>
          <w:szCs w:val="32"/>
        </w:rPr>
        <w:t>维护成本减少。其中，因公出国（境）费支出0万元，占0%，比上年增加0万元，增长0%，主要原因是</w:t>
      </w:r>
      <w:r>
        <w:rPr>
          <w:rFonts w:hint="eastAsia" w:ascii="仿宋_GB2312" w:eastAsia="仿宋_GB2312"/>
          <w:sz w:val="32"/>
          <w:szCs w:val="32"/>
          <w:lang w:eastAsia="zh-CN"/>
        </w:rPr>
        <w:t>与上年相比无变动，与上年一致</w:t>
      </w:r>
      <w:r>
        <w:rPr>
          <w:rFonts w:hint="eastAsia" w:ascii="仿宋_GB2312" w:eastAsia="仿宋_GB2312"/>
          <w:sz w:val="32"/>
          <w:szCs w:val="32"/>
        </w:rPr>
        <w:t>；公务用车购置及运行维护费支出0.69万元，占100%，比上年减少1.11万元，降低61.67%，主要原因是日常因公用车事务减少，车辆</w:t>
      </w:r>
      <w:r>
        <w:rPr>
          <w:rFonts w:hint="eastAsia" w:ascii="仿宋_GB2312" w:eastAsia="仿宋_GB2312"/>
          <w:sz w:val="32"/>
          <w:szCs w:val="32"/>
          <w:lang w:eastAsia="zh-CN"/>
        </w:rPr>
        <w:t>运行</w:t>
      </w:r>
      <w:r>
        <w:rPr>
          <w:rFonts w:hint="eastAsia" w:ascii="仿宋_GB2312" w:eastAsia="仿宋_GB2312"/>
          <w:sz w:val="32"/>
          <w:szCs w:val="32"/>
        </w:rPr>
        <w:t>维护成本减少；公务接待费支出0万元，占0%，比上年增加0万元，增长0%，主要原因是</w:t>
      </w:r>
      <w:r>
        <w:rPr>
          <w:rFonts w:hint="eastAsia" w:ascii="仿宋_GB2312" w:eastAsia="仿宋_GB2312"/>
          <w:sz w:val="32"/>
          <w:szCs w:val="32"/>
          <w:lang w:eastAsia="zh-CN"/>
        </w:rPr>
        <w:t>与上年相比无变动，与上年一致</w:t>
      </w:r>
      <w:r>
        <w:rPr>
          <w:rFonts w:hint="eastAsia" w:ascii="仿宋_GB2312" w:eastAsia="仿宋_GB2312"/>
          <w:sz w:val="32"/>
          <w:szCs w:val="32"/>
        </w:rPr>
        <w:t>。具体情况如下：</w:t>
      </w:r>
    </w:p>
    <w:p>
      <w:pPr>
        <w:ind w:firstLine="640" w:firstLineChars="200"/>
        <w:rPr>
          <w:rFonts w:ascii="仿宋_GB2312" w:eastAsia="仿宋_GB2312"/>
          <w:sz w:val="32"/>
          <w:szCs w:val="32"/>
        </w:rPr>
      </w:pPr>
      <w:r>
        <w:rPr>
          <w:rFonts w:hint="eastAsia" w:ascii="仿宋_GB2312" w:eastAsia="仿宋_GB2312"/>
          <w:sz w:val="32"/>
          <w:szCs w:val="32"/>
        </w:rPr>
        <w:t>因公出国（境）费支出0万元，开支内容包括：</w:t>
      </w:r>
      <w:r>
        <w:rPr>
          <w:rFonts w:ascii="仿宋_GB2312" w:eastAsia="仿宋_GB2312"/>
          <w:color w:val="000000" w:themeColor="text1"/>
          <w:sz w:val="32"/>
          <w:szCs w:val="32"/>
          <w14:textFill>
            <w14:solidFill>
              <w14:schemeClr w14:val="tx1"/>
            </w14:solidFill>
          </w14:textFill>
        </w:rPr>
        <w:t>预算未安排，无此项支出。</w:t>
      </w:r>
      <w:r>
        <w:rPr>
          <w:rFonts w:hint="eastAsia" w:ascii="仿宋_GB2312" w:eastAsia="仿宋_GB2312"/>
          <w:sz w:val="32"/>
          <w:szCs w:val="32"/>
        </w:rPr>
        <w:t>单位全年安排的因公出国（境）团组0个，因公出国（境）0人次。</w:t>
      </w:r>
    </w:p>
    <w:p>
      <w:pPr>
        <w:ind w:firstLine="640" w:firstLineChars="200"/>
        <w:rPr>
          <w:rFonts w:ascii="仿宋_GB2312" w:eastAsia="仿宋_GB2312"/>
          <w:sz w:val="32"/>
          <w:szCs w:val="32"/>
        </w:rPr>
      </w:pPr>
      <w:r>
        <w:rPr>
          <w:rFonts w:hint="eastAsia" w:ascii="仿宋_GB2312" w:eastAsia="仿宋_GB2312"/>
          <w:sz w:val="32"/>
          <w:szCs w:val="32"/>
        </w:rPr>
        <w:t>公务用车购置及运行维护费0.69万元，其中，公务用车购置费0万元，公务用车运行维护费0.69万元。公务用车运行维护费开支内容包括维护费、汽车油料、过路费。公务用车购置数0辆，公务用车保有量2辆。</w:t>
      </w:r>
    </w:p>
    <w:p>
      <w:pPr>
        <w:ind w:firstLine="640" w:firstLineChars="200"/>
        <w:rPr>
          <w:rFonts w:ascii="仿宋_GB2312" w:eastAsia="仿宋_GB2312"/>
          <w:sz w:val="32"/>
          <w:szCs w:val="32"/>
        </w:rPr>
      </w:pPr>
      <w:r>
        <w:rPr>
          <w:rFonts w:hint="eastAsia" w:ascii="仿宋_GB2312" w:eastAsia="仿宋_GB2312"/>
          <w:sz w:val="32"/>
          <w:szCs w:val="32"/>
        </w:rPr>
        <w:t>公务接待费0万元，开支内容包括预算未安排，无此项支出。单位全年安排的国内公务接待0批次，0人次。</w:t>
      </w:r>
    </w:p>
    <w:p>
      <w:pPr>
        <w:ind w:firstLine="640" w:firstLineChars="200"/>
        <w:rPr>
          <w:rFonts w:ascii="仿宋_GB2312" w:eastAsia="仿宋_GB2312"/>
          <w:sz w:val="32"/>
          <w:szCs w:val="32"/>
        </w:rPr>
      </w:pPr>
      <w:r>
        <w:rPr>
          <w:rFonts w:hint="eastAsia" w:ascii="仿宋_GB2312" w:eastAsia="仿宋_GB2312"/>
          <w:sz w:val="32"/>
          <w:szCs w:val="32"/>
        </w:rPr>
        <w:t>与年初预算数相比情况：一般公共预算“三公”经费支出年初预算数</w:t>
      </w:r>
      <w:r>
        <w:rPr>
          <w:rFonts w:ascii="仿宋_GB2312" w:eastAsia="仿宋_GB2312"/>
          <w:color w:val="000000" w:themeColor="text1"/>
          <w:sz w:val="32"/>
          <w:szCs w:val="32"/>
          <w14:textFill>
            <w14:solidFill>
              <w14:schemeClr w14:val="tx1"/>
            </w14:solidFill>
          </w14:textFill>
        </w:rPr>
        <w:t>1.80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0.69</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，预决算差异率-61.67%，主要原因是：日常因公用车事务减少，车辆维护成本减少。</w:t>
      </w:r>
      <w:r>
        <w:rPr>
          <w:rFonts w:hint="eastAsia" w:ascii="仿宋_GB2312" w:hAnsi="宋体" w:eastAsia="仿宋_GB2312" w:cs="宋体"/>
          <w:kern w:val="0"/>
          <w:sz w:val="32"/>
          <w:szCs w:val="32"/>
        </w:rPr>
        <w:t>其中：因公出国（境）费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r>
        <w:rPr>
          <w:rFonts w:hint="eastAsia" w:ascii="仿宋_GB2312" w:hAnsi="宋体" w:eastAsia="仿宋_GB2312" w:cs="宋体"/>
          <w:kern w:val="0"/>
          <w:sz w:val="32"/>
          <w:szCs w:val="32"/>
        </w:rPr>
        <w:t>公务用车购置</w:t>
      </w:r>
      <w:r>
        <w:rPr>
          <w:rFonts w:hint="eastAsia" w:ascii="仿宋_GB2312" w:eastAsia="仿宋_GB2312"/>
          <w:sz w:val="32"/>
          <w:szCs w:val="32"/>
        </w:rPr>
        <w:t>费预算数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r>
        <w:rPr>
          <w:rFonts w:hint="eastAsia" w:ascii="仿宋_GB2312" w:hAnsi="宋体" w:eastAsia="仿宋_GB2312" w:cs="宋体"/>
          <w:kern w:val="0"/>
          <w:sz w:val="32"/>
          <w:szCs w:val="32"/>
        </w:rPr>
        <w:t>公务用车运行费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1.80</w:t>
      </w:r>
      <w:r>
        <w:rPr>
          <w:rFonts w:hint="eastAsia" w:ascii="仿宋_GB2312" w:eastAsia="仿宋_GB2312"/>
          <w:sz w:val="32"/>
          <w:szCs w:val="32"/>
        </w:rPr>
        <w:t>万元，决算数</w:t>
      </w:r>
      <w:r>
        <w:rPr>
          <w:rFonts w:ascii="仿宋_GB2312" w:eastAsia="仿宋_GB2312"/>
          <w:color w:val="000000" w:themeColor="text1"/>
          <w:sz w:val="32"/>
          <w:szCs w:val="32"/>
          <w14:textFill>
            <w14:solidFill>
              <w14:schemeClr w14:val="tx1"/>
            </w14:solidFill>
          </w14:textFill>
        </w:rPr>
        <w:t>0.69</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，预决算差异率-61.67%，主要原因是：日常因公用车事务减少，车辆维护成本减少；</w:t>
      </w:r>
      <w:r>
        <w:rPr>
          <w:rFonts w:hint="eastAsia" w:ascii="仿宋_GB2312" w:hAnsi="宋体" w:eastAsia="仿宋_GB2312" w:cs="宋体"/>
          <w:kern w:val="0"/>
          <w:sz w:val="32"/>
          <w:szCs w:val="32"/>
        </w:rPr>
        <w:t>公务接待费</w:t>
      </w:r>
      <w:r>
        <w:rPr>
          <w:rFonts w:hint="eastAsia" w:ascii="仿宋_GB2312" w:eastAsia="仿宋_GB2312"/>
          <w:sz w:val="32"/>
          <w:szCs w:val="32"/>
        </w:rPr>
        <w:t>预算数</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万元，决算数</w:t>
      </w:r>
      <w:r>
        <w:rPr>
          <w:rFonts w:hint="eastAsia"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万元</w:t>
      </w:r>
      <w:r>
        <w:rPr>
          <w:rFonts w:ascii="仿宋_GB2312" w:eastAsia="仿宋_GB2312"/>
          <w:color w:val="000000" w:themeColor="text1"/>
          <w:sz w:val="32"/>
          <w:szCs w:val="32"/>
          <w14:textFill>
            <w14:solidFill>
              <w14:schemeClr w14:val="tx1"/>
            </w14:solidFill>
          </w14:textFill>
        </w:rPr>
        <w:t>，预决算差异率0%，主要原因是：预算未安排，无此项支出。</w:t>
      </w:r>
    </w:p>
    <w:p>
      <w:pPr>
        <w:ind w:firstLine="640" w:firstLineChars="200"/>
        <w:outlineLvl w:val="1"/>
        <w:rPr>
          <w:rFonts w:ascii="黑体" w:hAnsi="黑体" w:eastAsia="黑体" w:cs="宋体"/>
          <w:bCs/>
          <w:kern w:val="0"/>
          <w:sz w:val="32"/>
          <w:szCs w:val="32"/>
        </w:rPr>
      </w:pPr>
      <w:bookmarkStart w:id="22" w:name="_Toc5810"/>
      <w:bookmarkStart w:id="23" w:name="_Toc7927"/>
      <w:r>
        <w:rPr>
          <w:rFonts w:hint="eastAsia" w:ascii="黑体" w:hAnsi="黑体" w:eastAsia="黑体" w:cs="宋体"/>
          <w:bCs/>
          <w:kern w:val="0"/>
          <w:sz w:val="32"/>
          <w:szCs w:val="32"/>
        </w:rPr>
        <w:t>八、政府性基金预算收入支出决算情况说明</w:t>
      </w:r>
      <w:bookmarkEnd w:id="22"/>
      <w:bookmarkEnd w:id="23"/>
    </w:p>
    <w:p>
      <w:pPr>
        <w:ind w:firstLine="640" w:firstLineChars="200"/>
        <w:rPr>
          <w:rFonts w:ascii="仿宋_GB2312" w:eastAsia="仿宋_GB2312"/>
          <w:color w:val="000000" w:themeColor="text1"/>
          <w:sz w:val="32"/>
          <w:szCs w:val="32"/>
          <w14:textFill>
            <w14:solidFill>
              <w14:schemeClr w14:val="tx1"/>
            </w14:solidFill>
          </w14:textFill>
        </w:rPr>
      </w:pPr>
      <w:r>
        <w:rPr>
          <w:rFonts w:ascii="仿宋_GB2312" w:eastAsia="仿宋_GB2312"/>
          <w:color w:val="000000" w:themeColor="text1"/>
          <w:sz w:val="32"/>
          <w:szCs w:val="32"/>
          <w14:textFill>
            <w14:solidFill>
              <w14:schemeClr w14:val="tx1"/>
            </w14:solidFill>
          </w14:textFill>
        </w:rPr>
        <w:t>我单位本年度无政府性基金预算财政拨款收入支出，政府性基金预算财政拨款收入支出决算表为空表。</w:t>
      </w:r>
    </w:p>
    <w:p>
      <w:pPr>
        <w:ind w:firstLine="640" w:firstLineChars="200"/>
        <w:outlineLvl w:val="1"/>
        <w:rPr>
          <w:rFonts w:ascii="黑体" w:hAnsi="黑体" w:eastAsia="黑体" w:cs="宋体"/>
          <w:bCs/>
          <w:kern w:val="0"/>
          <w:sz w:val="32"/>
          <w:szCs w:val="32"/>
        </w:rPr>
      </w:pPr>
      <w:bookmarkStart w:id="24" w:name="_Toc1235"/>
      <w:bookmarkStart w:id="25" w:name="_Toc7314"/>
      <w:r>
        <w:rPr>
          <w:rFonts w:hint="eastAsia" w:ascii="黑体" w:hAnsi="黑体" w:eastAsia="黑体" w:cs="宋体"/>
          <w:bCs/>
          <w:kern w:val="0"/>
          <w:sz w:val="32"/>
          <w:szCs w:val="32"/>
        </w:rPr>
        <w:t>九、其他重要事项的情况说明</w:t>
      </w:r>
      <w:bookmarkEnd w:id="24"/>
      <w:bookmarkEnd w:id="25"/>
    </w:p>
    <w:p>
      <w:pPr>
        <w:ind w:firstLine="640" w:firstLineChars="200"/>
        <w:outlineLvl w:val="2"/>
        <w:rPr>
          <w:rFonts w:ascii="黑体" w:hAnsi="黑体" w:eastAsia="黑体"/>
          <w:sz w:val="32"/>
          <w:szCs w:val="32"/>
        </w:rPr>
      </w:pPr>
      <w:bookmarkStart w:id="26" w:name="_Toc14519"/>
      <w:bookmarkStart w:id="27" w:name="_Toc13105"/>
      <w:r>
        <w:rPr>
          <w:rFonts w:hint="eastAsia" w:ascii="黑体" w:hAnsi="黑体" w:eastAsia="黑体"/>
          <w:sz w:val="32"/>
          <w:szCs w:val="32"/>
        </w:rPr>
        <w:t>（一）机关运行经费支出情况</w:t>
      </w:r>
      <w:bookmarkEnd w:id="26"/>
      <w:bookmarkEnd w:id="27"/>
    </w:p>
    <w:p>
      <w:pPr>
        <w:ind w:firstLine="640" w:firstLineChars="200"/>
        <w:rPr>
          <w:rFonts w:ascii="仿宋_GB2312" w:eastAsia="仿宋_GB2312"/>
          <w:sz w:val="32"/>
          <w:szCs w:val="32"/>
        </w:rPr>
      </w:pPr>
      <w:r>
        <w:rPr>
          <w:rFonts w:hint="eastAsia" w:ascii="仿宋_GB2312" w:eastAsia="仿宋_GB2312"/>
          <w:color w:val="000000" w:themeColor="text1"/>
          <w:sz w:val="32"/>
          <w:szCs w:val="32"/>
          <w14:textFill>
            <w14:solidFill>
              <w14:schemeClr w14:val="tx1"/>
            </w14:solidFill>
          </w14:textFill>
        </w:rPr>
        <w:t>2019年度新疆喀什地区地震局机关运行经费支出6.65万元，比上年增加1.64万元，增长32.73%，主要原因是办公支出增多，运行经费增加。</w:t>
      </w:r>
    </w:p>
    <w:p>
      <w:pPr>
        <w:ind w:firstLine="640" w:firstLineChars="200"/>
        <w:outlineLvl w:val="2"/>
        <w:rPr>
          <w:rFonts w:ascii="黑体" w:hAnsi="黑体" w:eastAsia="黑体"/>
          <w:sz w:val="32"/>
          <w:szCs w:val="32"/>
        </w:rPr>
      </w:pPr>
      <w:bookmarkStart w:id="28" w:name="_Toc26704"/>
      <w:bookmarkStart w:id="29" w:name="_Toc227"/>
      <w:r>
        <w:rPr>
          <w:rFonts w:hint="eastAsia" w:ascii="黑体" w:hAnsi="黑体" w:eastAsia="黑体"/>
          <w:sz w:val="32"/>
          <w:szCs w:val="32"/>
        </w:rPr>
        <w:t>（二）政府采购情况</w:t>
      </w:r>
      <w:bookmarkEnd w:id="28"/>
      <w:bookmarkEnd w:id="29"/>
    </w:p>
    <w:p>
      <w:pPr>
        <w:ind w:firstLine="640" w:firstLineChars="200"/>
        <w:rPr>
          <w:rFonts w:ascii="仿宋_GB2312" w:eastAsia="仿宋_GB2312"/>
          <w:sz w:val="32"/>
          <w:szCs w:val="32"/>
        </w:rPr>
      </w:pPr>
      <w:r>
        <w:rPr>
          <w:rFonts w:ascii="仿宋_GB2312" w:eastAsia="仿宋_GB2312"/>
          <w:sz w:val="32"/>
          <w:szCs w:val="32"/>
        </w:rPr>
        <w:t>2019</w:t>
      </w:r>
      <w:r>
        <w:rPr>
          <w:rFonts w:hint="eastAsia" w:ascii="仿宋_GB2312" w:eastAsia="仿宋_GB2312"/>
          <w:sz w:val="32"/>
          <w:szCs w:val="32"/>
        </w:rPr>
        <w:t>年度政府采购支出总额102.67万元，其中：政府采购货物支出60.25万元、政府采购工程支出0万元、政府采购服务支出42.42万元。</w:t>
      </w:r>
    </w:p>
    <w:p>
      <w:pPr>
        <w:ind w:firstLine="640" w:firstLineChars="200"/>
        <w:rPr>
          <w:rFonts w:ascii="仿宋_GB2312" w:eastAsia="仿宋_GB2312"/>
          <w:sz w:val="32"/>
          <w:szCs w:val="32"/>
        </w:rPr>
      </w:pPr>
      <w:r>
        <w:rPr>
          <w:rFonts w:hint="eastAsia" w:ascii="仿宋_GB2312" w:eastAsia="仿宋_GB2312"/>
          <w:sz w:val="32"/>
          <w:szCs w:val="32"/>
        </w:rPr>
        <w:t>授予中小企业合同金额102.67万元，占政府采购支出总额的100%，其中：授予小微企业合同金额102.67万元，占政府采购支出总额的100%。</w:t>
      </w:r>
    </w:p>
    <w:p>
      <w:pPr>
        <w:ind w:firstLine="640" w:firstLineChars="200"/>
        <w:outlineLvl w:val="2"/>
        <w:rPr>
          <w:rFonts w:ascii="黑体" w:hAnsi="黑体" w:eastAsia="黑体"/>
          <w:sz w:val="32"/>
          <w:szCs w:val="32"/>
        </w:rPr>
      </w:pPr>
      <w:bookmarkStart w:id="30" w:name="_Toc8391"/>
      <w:bookmarkStart w:id="31" w:name="_Toc4591"/>
      <w:r>
        <w:rPr>
          <w:rFonts w:hint="eastAsia" w:ascii="黑体" w:hAnsi="黑体" w:eastAsia="黑体"/>
          <w:sz w:val="32"/>
          <w:szCs w:val="32"/>
        </w:rPr>
        <w:t>（三）国有资产占用情况说明</w:t>
      </w:r>
      <w:bookmarkEnd w:id="30"/>
      <w:bookmarkEnd w:id="31"/>
    </w:p>
    <w:p>
      <w:pPr>
        <w:ind w:firstLine="640" w:firstLineChars="200"/>
        <w:rPr>
          <w:rFonts w:ascii="仿宋_GB2312" w:eastAsia="仿宋_GB2312"/>
          <w:sz w:val="32"/>
          <w:szCs w:val="32"/>
        </w:rPr>
      </w:pPr>
      <w:r>
        <w:rPr>
          <w:rFonts w:hint="eastAsia" w:ascii="仿宋_GB2312" w:eastAsia="仿宋_GB2312"/>
          <w:sz w:val="32"/>
          <w:szCs w:val="32"/>
        </w:rPr>
        <w:t>截止</w:t>
      </w:r>
      <w:r>
        <w:rPr>
          <w:rFonts w:ascii="仿宋_GB2312" w:eastAsia="仿宋_GB2312"/>
          <w:sz w:val="32"/>
          <w:szCs w:val="32"/>
        </w:rPr>
        <w:t>2019</w:t>
      </w:r>
      <w:r>
        <w:rPr>
          <w:rFonts w:hint="eastAsia" w:ascii="仿宋_GB2312" w:eastAsia="仿宋_GB2312"/>
          <w:sz w:val="32"/>
          <w:szCs w:val="32"/>
        </w:rPr>
        <w:t>年12月31日，单位共有房屋336（平方米），价值6.49万元。车辆2辆，价值59.75万元，其中：副部（省）级及以上领导用车0辆、主要领导干部用车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辆、机要通信用车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辆、应急保障用车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辆、执法执勤用车0辆、特种专业技术用车0辆、离退休干部用车</w:t>
      </w:r>
      <w:r>
        <w:rPr>
          <w:rFonts w:ascii="仿宋_GB2312" w:eastAsia="仿宋_GB2312"/>
          <w:color w:val="000000" w:themeColor="text1"/>
          <w:sz w:val="32"/>
          <w:szCs w:val="32"/>
          <w14:textFill>
            <w14:solidFill>
              <w14:schemeClr w14:val="tx1"/>
            </w14:solidFill>
          </w14:textFill>
        </w:rPr>
        <w:t>2</w:t>
      </w:r>
      <w:r>
        <w:rPr>
          <w:rFonts w:hint="eastAsia" w:ascii="仿宋_GB2312" w:eastAsia="仿宋_GB2312"/>
          <w:sz w:val="32"/>
          <w:szCs w:val="32"/>
        </w:rPr>
        <w:t>辆、其他用车</w:t>
      </w:r>
      <w:r>
        <w:rPr>
          <w:rFonts w:ascii="仿宋_GB2312" w:eastAsia="仿宋_GB2312"/>
          <w:color w:val="000000" w:themeColor="text1"/>
          <w:sz w:val="32"/>
          <w:szCs w:val="32"/>
          <w14:textFill>
            <w14:solidFill>
              <w14:schemeClr w14:val="tx1"/>
            </w14:solidFill>
          </w14:textFill>
        </w:rPr>
        <w:t>0</w:t>
      </w:r>
      <w:r>
        <w:rPr>
          <w:rFonts w:hint="eastAsia" w:ascii="仿宋_GB2312" w:eastAsia="仿宋_GB2312"/>
          <w:sz w:val="32"/>
          <w:szCs w:val="32"/>
        </w:rPr>
        <w:t>辆，其他用车主要是：</w:t>
      </w:r>
      <w:r>
        <w:rPr>
          <w:rFonts w:ascii="仿宋_GB2312" w:eastAsia="仿宋_GB2312"/>
          <w:color w:val="000000" w:themeColor="text1"/>
          <w:sz w:val="32"/>
          <w:szCs w:val="32"/>
          <w14:textFill>
            <w14:solidFill>
              <w14:schemeClr w14:val="tx1"/>
            </w14:solidFill>
          </w14:textFill>
        </w:rPr>
        <w:t>无其他用车；</w:t>
      </w:r>
      <w:r>
        <w:rPr>
          <w:rFonts w:hint="eastAsia" w:ascii="仿宋_GB2312" w:eastAsia="仿宋_GB2312"/>
          <w:sz w:val="32"/>
          <w:szCs w:val="32"/>
        </w:rPr>
        <w:t>单位价值50万元以上通用设备0台（套）、单位价值100万元以上专用设备0台（套）。</w:t>
      </w:r>
    </w:p>
    <w:p>
      <w:pPr>
        <w:ind w:firstLine="640" w:firstLineChars="200"/>
        <w:outlineLvl w:val="1"/>
        <w:rPr>
          <w:rFonts w:ascii="黑体" w:hAnsi="黑体" w:eastAsia="黑体" w:cs="宋体"/>
          <w:bCs/>
          <w:kern w:val="0"/>
          <w:sz w:val="32"/>
          <w:szCs w:val="32"/>
        </w:rPr>
      </w:pPr>
      <w:bookmarkStart w:id="32" w:name="_Toc11283"/>
      <w:bookmarkStart w:id="33" w:name="_Toc435"/>
      <w:r>
        <w:rPr>
          <w:rFonts w:hint="eastAsia" w:ascii="黑体" w:hAnsi="黑体" w:eastAsia="黑体" w:cs="宋体"/>
          <w:bCs/>
          <w:kern w:val="0"/>
          <w:sz w:val="32"/>
          <w:szCs w:val="32"/>
        </w:rPr>
        <w:t>十、预算绩效的情况说明</w:t>
      </w:r>
      <w:bookmarkEnd w:id="32"/>
      <w:bookmarkEnd w:id="33"/>
    </w:p>
    <w:p>
      <w:pPr>
        <w:ind w:firstLine="640" w:firstLineChars="200"/>
        <w:rPr>
          <w:rFonts w:ascii="仿宋_GB2312" w:eastAsia="仿宋_GB2312"/>
          <w:sz w:val="32"/>
          <w:szCs w:val="32"/>
        </w:rPr>
      </w:pPr>
      <w:r>
        <w:rPr>
          <w:rFonts w:hint="eastAsia" w:ascii="仿宋_GB2312" w:eastAsia="仿宋_GB2312"/>
          <w:sz w:val="32"/>
          <w:szCs w:val="32"/>
        </w:rPr>
        <w:t>根据预算绩效管理要求，我单位2019年度开展预算绩效评价项目2个，共涉及资金6.48万元。预算绩效管理取得的成效：一是部门年度任务在预算资金额度内完成，三公经费在预算范围内开支，开支范围较上年无变化</w:t>
      </w:r>
      <w:r>
        <w:rPr>
          <w:rFonts w:hint="eastAsia" w:ascii="仿宋_GB2312" w:eastAsia="仿宋_GB2312"/>
          <w:sz w:val="32"/>
          <w:szCs w:val="32"/>
          <w:lang w:val="en-US" w:eastAsia="zh-CN"/>
        </w:rPr>
        <w:t>;</w:t>
      </w:r>
      <w:r>
        <w:rPr>
          <w:rFonts w:hint="eastAsia" w:ascii="仿宋_GB2312" w:eastAsia="仿宋_GB2312"/>
          <w:sz w:val="32"/>
          <w:szCs w:val="32"/>
        </w:rPr>
        <w:t>二是各项工作计划按预期计划按时完成，效益是按预期时间产生</w:t>
      </w:r>
      <w:r>
        <w:rPr>
          <w:rFonts w:hint="eastAsia" w:ascii="仿宋_GB2312" w:eastAsia="仿宋_GB2312"/>
          <w:sz w:val="32"/>
          <w:szCs w:val="32"/>
          <w:lang w:val="en-US" w:eastAsia="zh-CN"/>
        </w:rPr>
        <w:t>;</w:t>
      </w:r>
      <w:r>
        <w:rPr>
          <w:rFonts w:hint="eastAsia" w:ascii="仿宋_GB2312" w:eastAsia="仿宋_GB2312"/>
          <w:sz w:val="32"/>
          <w:szCs w:val="32"/>
        </w:rPr>
        <w:t>三是预期的经济效益、社会效益、可持续的影响产生，相关人员的满意度达到95。发现的问题及原因：一是预算编制与实际支出项目仍存在细微差异</w:t>
      </w:r>
      <w:r>
        <w:rPr>
          <w:rFonts w:hint="eastAsia" w:ascii="仿宋_GB2312" w:eastAsia="仿宋_GB2312"/>
          <w:sz w:val="32"/>
          <w:szCs w:val="32"/>
          <w:lang w:val="en-US" w:eastAsia="zh-CN"/>
        </w:rPr>
        <w:t>;</w:t>
      </w:r>
      <w:r>
        <w:rPr>
          <w:rFonts w:hint="eastAsia" w:ascii="仿宋_GB2312" w:eastAsia="仿宋_GB2312"/>
          <w:sz w:val="32"/>
          <w:szCs w:val="32"/>
        </w:rPr>
        <w:t>二是预算评价意识有待更进一步提高，缺乏完善的评价体系，同时预算评价的目标、监控工作的科学性、合理性有待进一步加强。下一步改进措施：一是年初做好资金计划，按照项目进度及时拨付资金，使资金使用效益最大化，减少不必要的浪费，节约成本</w:t>
      </w:r>
      <w:r>
        <w:rPr>
          <w:rFonts w:hint="eastAsia" w:ascii="仿宋_GB2312" w:eastAsia="仿宋_GB2312"/>
          <w:sz w:val="32"/>
          <w:szCs w:val="32"/>
          <w:lang w:val="en-US" w:eastAsia="zh-CN"/>
        </w:rPr>
        <w:t>;</w:t>
      </w:r>
      <w:r>
        <w:rPr>
          <w:rFonts w:hint="eastAsia" w:ascii="仿宋_GB2312" w:eastAsia="仿宋_GB2312"/>
          <w:sz w:val="32"/>
          <w:szCs w:val="32"/>
        </w:rPr>
        <w:t>二是进一步提高预算评价意识，不断完善的评价体系，同时加强预算评价的目标、监控工作的科学性、合理性。具体项目自评情况附项目支出绩效自评表。</w:t>
      </w:r>
    </w:p>
    <w:p>
      <w:pPr>
        <w:ind w:firstLine="640" w:firstLineChars="200"/>
        <w:jc w:val="center"/>
        <w:outlineLvl w:val="0"/>
        <w:rPr>
          <w:rFonts w:ascii="黑体" w:hAnsi="黑体" w:eastAsia="黑体"/>
          <w:sz w:val="32"/>
          <w:szCs w:val="32"/>
        </w:rPr>
      </w:pPr>
      <w:bookmarkStart w:id="34" w:name="_Toc24143"/>
      <w:bookmarkStart w:id="35" w:name="_Toc3250"/>
      <w:r>
        <w:rPr>
          <w:rFonts w:hint="eastAsia" w:ascii="黑体" w:hAnsi="黑体" w:eastAsia="黑体"/>
          <w:sz w:val="32"/>
          <w:szCs w:val="32"/>
        </w:rPr>
        <w:t>第三部分 专业名词解释</w:t>
      </w:r>
      <w:bookmarkEnd w:id="34"/>
      <w:bookmarkEnd w:id="35"/>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财政拨款收入：指同级财政当年拨付的资金。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上级补助收入：指事业单位从主管部门和上级单位取得的非财政补助收入。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事业收入：指事业单位开展专业业务活动及其辅助活动所取得的收入。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经营收入：指事业单位在专业业务活动及其辅助活动之外开展非独立核算经营活动取得的收入。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附属单位上缴收入：指事业单位附属的独立核算单位按有关规定上缴的收入。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其他收入：指除上述“财政拨款收入”、“事业收入”、“经营收入”、“附属单位上缴收入”等之外取得的收入。</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用事业基金弥补收支差额：指事业单位在当年的“财政拨款收入”、“财政拨款结转和结余资金”、“事业收入”、“事业单位经营收入”、“其他收入”不足以安排当年支出的情况下，使用以前年度积累的事业基金（即事业单位当年收支相抵后按国家规定提取、用于弥补以后年度收支差额的基金）弥补本年度收支缺口的资金。</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年初结转和结余：指以前年度支出预算因客观条件变化未执行完毕、结转到本年度按有关规定继续使用的资金，既包括财政拨款结转和结余，也包括事业收入、经营收入、其他收入的结转和结余。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年末结转和结余：指本年度或以前年度预算安排、因客观条件发生变化无法按原计划实施，需要延迟到以后年度按有关规定继续使用的资金，既包括财政拨款结转和结余，也包括事业收入、经营收入、其他收入的结转和结余。</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基本支出：指为保障机构正常运转、完成日常工作任务而发生的人员支出和公用支出。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项目支出：指在基本支出之外为完成特定行政任务和事业发展目标所发生的支出。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经营支出：指事业单位在专业业务活动及其辅助活动之外开展非独立核算经营活动发生的支出。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对附属单位补助支出：指事业单位发生的用非财政预算资金对附属单位的补助支出。</w:t>
      </w:r>
    </w:p>
    <w:p>
      <w:pPr>
        <w:autoSpaceDE w:val="0"/>
        <w:autoSpaceDN w:val="0"/>
        <w:ind w:firstLine="640" w:firstLineChars="200"/>
        <w:rPr>
          <w:rFonts w:ascii="仿宋_GB2312" w:eastAsia="仿宋_GB2312"/>
          <w:sz w:val="32"/>
          <w:szCs w:val="32"/>
        </w:rPr>
      </w:pPr>
      <w:r>
        <w:rPr>
          <w:rFonts w:hint="eastAsia" w:ascii="仿宋_GB2312" w:eastAsia="仿宋_GB2312"/>
          <w:sz w:val="32"/>
          <w:szCs w:val="32"/>
        </w:rPr>
        <w:t>“三公”经费：指用一般公共预算财政拨款安排的因公出国（境）费、公务用车购置及运行费和公务接待费。其中，因公出国（境）费反映单位公务出国（境）的住宿费、旅费、伙食补助费、杂费、培训费等支出；公务用车购置及运行费反映单位公务用车购置费及租用费、燃料费、维修费、过路过桥费、保险费、安全奖励费用等支出；公务接待费反映单位按规定开支的各类公务接待（含外宾接待）支出。</w:t>
      </w:r>
    </w:p>
    <w:p>
      <w:pPr>
        <w:ind w:firstLine="640" w:firstLineChars="200"/>
        <w:rPr>
          <w:rFonts w:ascii="仿宋_GB2312" w:eastAsia="仿宋_GB2312"/>
          <w:sz w:val="32"/>
          <w:szCs w:val="32"/>
        </w:rPr>
      </w:pPr>
      <w:r>
        <w:rPr>
          <w:rFonts w:hint="eastAsia" w:ascii="仿宋_GB2312" w:eastAsia="仿宋_GB2312"/>
          <w:sz w:val="32"/>
          <w:szCs w:val="32"/>
        </w:rPr>
        <w:t>机关运行经费：为保障行政单位（含参照公务员法管理的事业单位）运行用于购买货物和服务的各项资金，包括办公及印刷费、邮电费、差旅费、会议费、福利费、日常维修费、专用材料及一般设备购置费、办公用房水电费、办公用房取暖费、办公用房物业管理费、公务用车运行维护费以及其他费用。</w:t>
      </w:r>
    </w:p>
    <w:p>
      <w:pPr>
        <w:ind w:firstLine="640" w:firstLineChars="200"/>
        <w:jc w:val="center"/>
        <w:outlineLvl w:val="0"/>
        <w:rPr>
          <w:rFonts w:ascii="黑体" w:hAnsi="黑体" w:eastAsia="黑体"/>
          <w:sz w:val="32"/>
          <w:szCs w:val="32"/>
        </w:rPr>
      </w:pPr>
      <w:bookmarkStart w:id="36" w:name="_Toc22784"/>
      <w:bookmarkStart w:id="37" w:name="_Toc28903"/>
      <w:r>
        <w:rPr>
          <w:rFonts w:hint="eastAsia" w:ascii="黑体" w:hAnsi="黑体" w:eastAsia="黑体"/>
          <w:sz w:val="32"/>
          <w:szCs w:val="32"/>
        </w:rPr>
        <w:t>第四部分 部门决算报表（见附表）</w:t>
      </w:r>
      <w:bookmarkEnd w:id="36"/>
      <w:bookmarkEnd w:id="37"/>
    </w:p>
    <w:p>
      <w:pPr>
        <w:ind w:firstLine="640" w:firstLineChars="200"/>
        <w:outlineLvl w:val="1"/>
        <w:rPr>
          <w:rFonts w:ascii="黑体" w:hAnsi="黑体" w:eastAsia="黑体" w:cs="宋体"/>
          <w:bCs/>
          <w:kern w:val="0"/>
          <w:sz w:val="32"/>
          <w:szCs w:val="32"/>
        </w:rPr>
      </w:pPr>
      <w:bookmarkStart w:id="38" w:name="_Toc6062"/>
      <w:bookmarkStart w:id="39" w:name="_Toc2183"/>
      <w:r>
        <w:rPr>
          <w:rFonts w:hint="eastAsia" w:ascii="黑体" w:hAnsi="黑体" w:eastAsia="黑体" w:cs="宋体"/>
          <w:bCs/>
          <w:kern w:val="0"/>
          <w:sz w:val="32"/>
          <w:szCs w:val="32"/>
        </w:rPr>
        <w:t>一、《收入支出决算总表》</w:t>
      </w:r>
      <w:bookmarkEnd w:id="38"/>
      <w:bookmarkEnd w:id="39"/>
    </w:p>
    <w:p>
      <w:pPr>
        <w:ind w:firstLine="640" w:firstLineChars="200"/>
        <w:outlineLvl w:val="1"/>
        <w:rPr>
          <w:rFonts w:ascii="黑体" w:hAnsi="黑体" w:eastAsia="黑体" w:cs="宋体"/>
          <w:bCs/>
          <w:kern w:val="0"/>
          <w:sz w:val="32"/>
          <w:szCs w:val="32"/>
        </w:rPr>
      </w:pPr>
      <w:bookmarkStart w:id="40" w:name="_Toc24532"/>
      <w:bookmarkStart w:id="41" w:name="_Toc30364"/>
      <w:r>
        <w:rPr>
          <w:rFonts w:hint="eastAsia" w:ascii="黑体" w:hAnsi="黑体" w:eastAsia="黑体" w:cs="宋体"/>
          <w:bCs/>
          <w:kern w:val="0"/>
          <w:sz w:val="32"/>
          <w:szCs w:val="32"/>
        </w:rPr>
        <w:t>二、《收入决算表》</w:t>
      </w:r>
      <w:bookmarkEnd w:id="40"/>
      <w:bookmarkEnd w:id="41"/>
    </w:p>
    <w:p>
      <w:pPr>
        <w:ind w:firstLine="640" w:firstLineChars="200"/>
        <w:outlineLvl w:val="1"/>
        <w:rPr>
          <w:rFonts w:ascii="黑体" w:hAnsi="黑体" w:eastAsia="黑体" w:cs="宋体"/>
          <w:bCs/>
          <w:kern w:val="0"/>
          <w:sz w:val="32"/>
          <w:szCs w:val="32"/>
        </w:rPr>
      </w:pPr>
      <w:bookmarkStart w:id="42" w:name="_Toc21304"/>
      <w:bookmarkStart w:id="43" w:name="_Toc32434"/>
      <w:r>
        <w:rPr>
          <w:rFonts w:hint="eastAsia" w:ascii="黑体" w:hAnsi="黑体" w:eastAsia="黑体" w:cs="宋体"/>
          <w:bCs/>
          <w:kern w:val="0"/>
          <w:sz w:val="32"/>
          <w:szCs w:val="32"/>
        </w:rPr>
        <w:t>三、《支出决算表》</w:t>
      </w:r>
      <w:bookmarkEnd w:id="42"/>
      <w:bookmarkEnd w:id="43"/>
    </w:p>
    <w:p>
      <w:pPr>
        <w:ind w:firstLine="640" w:firstLineChars="200"/>
        <w:outlineLvl w:val="1"/>
        <w:rPr>
          <w:rFonts w:ascii="黑体" w:hAnsi="黑体" w:eastAsia="黑体" w:cs="宋体"/>
          <w:bCs/>
          <w:kern w:val="0"/>
          <w:sz w:val="32"/>
          <w:szCs w:val="32"/>
        </w:rPr>
      </w:pPr>
      <w:bookmarkStart w:id="44" w:name="_Toc14238"/>
      <w:bookmarkStart w:id="45" w:name="_Toc28786"/>
      <w:r>
        <w:rPr>
          <w:rFonts w:hint="eastAsia" w:ascii="黑体" w:hAnsi="黑体" w:eastAsia="黑体" w:cs="宋体"/>
          <w:bCs/>
          <w:kern w:val="0"/>
          <w:sz w:val="32"/>
          <w:szCs w:val="32"/>
        </w:rPr>
        <w:t>四、《财政拨款收入支出决算总表》</w:t>
      </w:r>
      <w:bookmarkEnd w:id="44"/>
      <w:bookmarkEnd w:id="45"/>
    </w:p>
    <w:p>
      <w:pPr>
        <w:ind w:firstLine="640" w:firstLineChars="200"/>
        <w:outlineLvl w:val="1"/>
        <w:rPr>
          <w:rFonts w:ascii="黑体" w:hAnsi="黑体" w:eastAsia="黑体" w:cs="宋体"/>
          <w:bCs/>
          <w:kern w:val="0"/>
          <w:sz w:val="32"/>
          <w:szCs w:val="32"/>
        </w:rPr>
      </w:pPr>
      <w:bookmarkStart w:id="46" w:name="_Toc10347"/>
      <w:bookmarkStart w:id="47" w:name="_Toc14869"/>
      <w:r>
        <w:rPr>
          <w:rFonts w:hint="eastAsia" w:ascii="黑体" w:hAnsi="黑体" w:eastAsia="黑体" w:cs="宋体"/>
          <w:bCs/>
          <w:kern w:val="0"/>
          <w:sz w:val="32"/>
          <w:szCs w:val="32"/>
        </w:rPr>
        <w:t>五、《一般公共预算财政拨款支出决算表》</w:t>
      </w:r>
      <w:bookmarkEnd w:id="46"/>
      <w:bookmarkEnd w:id="47"/>
    </w:p>
    <w:p>
      <w:pPr>
        <w:ind w:firstLine="640" w:firstLineChars="200"/>
        <w:outlineLvl w:val="1"/>
        <w:rPr>
          <w:rFonts w:ascii="黑体" w:hAnsi="黑体" w:eastAsia="黑体" w:cs="宋体"/>
          <w:bCs/>
          <w:kern w:val="0"/>
          <w:sz w:val="32"/>
          <w:szCs w:val="32"/>
        </w:rPr>
      </w:pPr>
      <w:bookmarkStart w:id="48" w:name="_Toc5626"/>
      <w:bookmarkStart w:id="49" w:name="_Toc8884"/>
      <w:r>
        <w:rPr>
          <w:rFonts w:hint="eastAsia" w:ascii="黑体" w:hAnsi="黑体" w:eastAsia="黑体" w:cs="宋体"/>
          <w:bCs/>
          <w:kern w:val="0"/>
          <w:sz w:val="32"/>
          <w:szCs w:val="32"/>
        </w:rPr>
        <w:t>六、《一般公共预算财政拨款基本支出决算表》</w:t>
      </w:r>
      <w:bookmarkEnd w:id="48"/>
      <w:bookmarkEnd w:id="49"/>
    </w:p>
    <w:p>
      <w:pPr>
        <w:ind w:firstLine="640" w:firstLineChars="200"/>
        <w:outlineLvl w:val="1"/>
        <w:rPr>
          <w:rFonts w:ascii="黑体" w:hAnsi="黑体" w:eastAsia="黑体" w:cs="宋体"/>
          <w:bCs/>
          <w:kern w:val="0"/>
          <w:sz w:val="32"/>
          <w:szCs w:val="32"/>
        </w:rPr>
      </w:pPr>
      <w:bookmarkStart w:id="50" w:name="_Toc32663"/>
      <w:bookmarkStart w:id="51" w:name="_Toc29106"/>
      <w:r>
        <w:rPr>
          <w:rFonts w:hint="eastAsia" w:ascii="黑体" w:hAnsi="黑体" w:eastAsia="黑体" w:cs="宋体"/>
          <w:bCs/>
          <w:kern w:val="0"/>
          <w:sz w:val="32"/>
          <w:szCs w:val="32"/>
        </w:rPr>
        <w:t>七、《一般公共预算财政拨款“三公”经费支出决算表》</w:t>
      </w:r>
      <w:bookmarkEnd w:id="50"/>
      <w:bookmarkEnd w:id="51"/>
    </w:p>
    <w:p>
      <w:pPr>
        <w:ind w:firstLine="640" w:firstLineChars="200"/>
        <w:outlineLvl w:val="1"/>
        <w:rPr>
          <w:rFonts w:ascii="黑体" w:hAnsi="黑体" w:eastAsia="黑体" w:cs="宋体"/>
          <w:bCs/>
          <w:kern w:val="0"/>
          <w:sz w:val="32"/>
          <w:szCs w:val="32"/>
        </w:rPr>
      </w:pPr>
      <w:bookmarkStart w:id="52" w:name="_Toc5453"/>
      <w:bookmarkStart w:id="53" w:name="_Toc7643"/>
      <w:r>
        <w:rPr>
          <w:rFonts w:hint="eastAsia" w:ascii="黑体" w:hAnsi="黑体" w:eastAsia="黑体" w:cs="宋体"/>
          <w:bCs/>
          <w:kern w:val="0"/>
          <w:sz w:val="32"/>
          <w:szCs w:val="32"/>
        </w:rPr>
        <w:t>八、《政府性基金预算财政拨款收入支出决算表》</w:t>
      </w:r>
      <w:bookmarkEnd w:id="52"/>
      <w:bookmarkEnd w:id="53"/>
    </w:p>
    <w:sectPr>
      <w:footerReference r:id="rId3" w:type="default"/>
      <w:pgSz w:w="11906" w:h="16838"/>
      <w:pgMar w:top="1440" w:right="1800" w:bottom="1440" w:left="1800"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panose1 w:val="03000509000000000000"/>
    <w:charset w:val="86"/>
    <w:family w:val="script"/>
    <w:pitch w:val="default"/>
    <w:sig w:usb0="00000001" w:usb1="080E0000" w:usb2="00000000" w:usb3="00000000" w:csb0="00040000" w:csb1="00000000"/>
  </w:font>
  <w:font w:name="仿宋_GB2312">
    <w:panose1 w:val="02010609030101010101"/>
    <w:charset w:val="86"/>
    <w:family w:val="modern"/>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mc:AlternateContent>
        <mc:Choice Requires="wps">
          <w:drawing>
            <wp:anchor distT="0" distB="0" distL="114300" distR="114300" simplePos="0" relativeHeight="251658240"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a:spLocks noChangeArrowheads="1"/>
                    </wps:cNvSpPr>
                    <wps:spPr bwMode="auto">
                      <a:xfrm>
                        <a:off x="0" y="0"/>
                        <a:ext cx="1828800" cy="1828800"/>
                      </a:xfrm>
                      <a:prstGeom prst="rect">
                        <a:avLst/>
                      </a:prstGeom>
                      <a:noFill/>
                      <a:ln>
                        <a:noFill/>
                      </a:ln>
                    </wps:spPr>
                    <wps:txbx>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wps:txbx>
                    <wps:bodyPr rot="0" vert="horz" wrap="none" lIns="0" tIns="0" rIns="0" bIns="0" anchor="t" anchorCtr="0" upright="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8240;mso-width-relative:page;mso-height-relative:page;" filled="f" stroked="f" coordsize="21600,21600" o:gfxdata="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">
              <v:fill on="f" focussize="0,0"/>
              <v:stroke on="f"/>
              <v:imagedata o:title=""/>
              <o:lock v:ext="edit" aspectratio="f"/>
              <v:textbox inset="0mm,0mm,0mm,0mm" style="mso-fit-shape-to-text:t;">
                <w:txbxContent>
                  <w:p>
                    <w:pPr>
                      <w:pStyle w:val="4"/>
                    </w:pPr>
                    <w:r>
                      <w:rPr>
                        <w:rFonts w:hint="eastAsia"/>
                      </w:rPr>
                      <w:fldChar w:fldCharType="begin"/>
                    </w:r>
                    <w:r>
                      <w:rPr>
                        <w:rFonts w:hint="eastAsia"/>
                      </w:rPr>
                      <w:instrText xml:space="preserve"> PAGE  \* MERGEFORMAT </w:instrText>
                    </w:r>
                    <w:r>
                      <w:rPr>
                        <w:rFonts w:hint="eastAsia"/>
                      </w:rPr>
                      <w:fldChar w:fldCharType="separate"/>
                    </w:r>
                    <w:r>
                      <w:rPr>
                        <w:rFonts w:hint="eastAsia"/>
                      </w:rPr>
                      <w:t>1</w:t>
                    </w:r>
                    <w:r>
                      <w:rPr>
                        <w:rFonts w:hint="eastAsia"/>
                      </w:rP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val="1"/>
  <w:bordersDoNotSurroundFooter w:val="1"/>
  <w:documentProtection w:edit="comments" w:enforcement="1" w:cryptProviderType="rsaFull" w:cryptAlgorithmClass="hash" w:cryptAlgorithmType="typeAny" w:cryptAlgorithmSid="4" w:cryptSpinCount="0" w:hash="KtxNQW5NC4OZhJMffD67zYkasoM=" w:salt="ktlo6AUDEuE601WLKP2Vag=="/>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1C6E66"/>
    <w:rsid w:val="000033EF"/>
    <w:rsid w:val="00004533"/>
    <w:rsid w:val="00005A21"/>
    <w:rsid w:val="0004063C"/>
    <w:rsid w:val="000701A7"/>
    <w:rsid w:val="00082456"/>
    <w:rsid w:val="000A663A"/>
    <w:rsid w:val="000B57B8"/>
    <w:rsid w:val="000F01B7"/>
    <w:rsid w:val="000F6705"/>
    <w:rsid w:val="001111D4"/>
    <w:rsid w:val="001128A8"/>
    <w:rsid w:val="001130AE"/>
    <w:rsid w:val="001237CF"/>
    <w:rsid w:val="00125A6F"/>
    <w:rsid w:val="0014029C"/>
    <w:rsid w:val="00146FA3"/>
    <w:rsid w:val="00162E66"/>
    <w:rsid w:val="001826D1"/>
    <w:rsid w:val="001848EE"/>
    <w:rsid w:val="00186B3B"/>
    <w:rsid w:val="001C2D35"/>
    <w:rsid w:val="001C5BE8"/>
    <w:rsid w:val="001C6E66"/>
    <w:rsid w:val="001D3634"/>
    <w:rsid w:val="001D37EF"/>
    <w:rsid w:val="001E4D79"/>
    <w:rsid w:val="001F777A"/>
    <w:rsid w:val="002122DE"/>
    <w:rsid w:val="00227229"/>
    <w:rsid w:val="002328AF"/>
    <w:rsid w:val="00233021"/>
    <w:rsid w:val="0024217C"/>
    <w:rsid w:val="00243E6C"/>
    <w:rsid w:val="00265F92"/>
    <w:rsid w:val="00272845"/>
    <w:rsid w:val="00287829"/>
    <w:rsid w:val="0029171A"/>
    <w:rsid w:val="00292B7F"/>
    <w:rsid w:val="00292C0A"/>
    <w:rsid w:val="002B072F"/>
    <w:rsid w:val="002B37DA"/>
    <w:rsid w:val="002B7A04"/>
    <w:rsid w:val="002D187F"/>
    <w:rsid w:val="002F1732"/>
    <w:rsid w:val="00327986"/>
    <w:rsid w:val="003314E6"/>
    <w:rsid w:val="00340AE7"/>
    <w:rsid w:val="00354737"/>
    <w:rsid w:val="0037159F"/>
    <w:rsid w:val="00377EC6"/>
    <w:rsid w:val="003920B8"/>
    <w:rsid w:val="003A44F0"/>
    <w:rsid w:val="003C3EF4"/>
    <w:rsid w:val="003D1DD1"/>
    <w:rsid w:val="003E5F70"/>
    <w:rsid w:val="003F60E1"/>
    <w:rsid w:val="00400D8F"/>
    <w:rsid w:val="00430E56"/>
    <w:rsid w:val="004318F5"/>
    <w:rsid w:val="00456820"/>
    <w:rsid w:val="00471387"/>
    <w:rsid w:val="00471BBD"/>
    <w:rsid w:val="0047268F"/>
    <w:rsid w:val="004A41CF"/>
    <w:rsid w:val="004A44C9"/>
    <w:rsid w:val="004B2E7F"/>
    <w:rsid w:val="004D35C0"/>
    <w:rsid w:val="004E519F"/>
    <w:rsid w:val="004F1D2D"/>
    <w:rsid w:val="00531503"/>
    <w:rsid w:val="00534ECA"/>
    <w:rsid w:val="005358C2"/>
    <w:rsid w:val="005474EB"/>
    <w:rsid w:val="005506DD"/>
    <w:rsid w:val="005529D0"/>
    <w:rsid w:val="00553FB5"/>
    <w:rsid w:val="00554A58"/>
    <w:rsid w:val="00560394"/>
    <w:rsid w:val="0056525F"/>
    <w:rsid w:val="005B1DE6"/>
    <w:rsid w:val="005C11EB"/>
    <w:rsid w:val="006032AE"/>
    <w:rsid w:val="00684E46"/>
    <w:rsid w:val="0068591E"/>
    <w:rsid w:val="00690F22"/>
    <w:rsid w:val="00693012"/>
    <w:rsid w:val="006B0B73"/>
    <w:rsid w:val="006D2B94"/>
    <w:rsid w:val="006E0721"/>
    <w:rsid w:val="0070295D"/>
    <w:rsid w:val="00725755"/>
    <w:rsid w:val="0075023C"/>
    <w:rsid w:val="00750D8A"/>
    <w:rsid w:val="00764051"/>
    <w:rsid w:val="00772611"/>
    <w:rsid w:val="007741F8"/>
    <w:rsid w:val="007B0022"/>
    <w:rsid w:val="007E2E4F"/>
    <w:rsid w:val="007E3BFD"/>
    <w:rsid w:val="00807B4B"/>
    <w:rsid w:val="008144CF"/>
    <w:rsid w:val="00827663"/>
    <w:rsid w:val="00847CE1"/>
    <w:rsid w:val="00852D88"/>
    <w:rsid w:val="00857132"/>
    <w:rsid w:val="00862395"/>
    <w:rsid w:val="008853A8"/>
    <w:rsid w:val="00887778"/>
    <w:rsid w:val="008D5B57"/>
    <w:rsid w:val="008F7D99"/>
    <w:rsid w:val="0090080D"/>
    <w:rsid w:val="00922FA7"/>
    <w:rsid w:val="00927301"/>
    <w:rsid w:val="009351E1"/>
    <w:rsid w:val="0094423A"/>
    <w:rsid w:val="00963E2E"/>
    <w:rsid w:val="009774AD"/>
    <w:rsid w:val="00980F6F"/>
    <w:rsid w:val="00993788"/>
    <w:rsid w:val="009A173F"/>
    <w:rsid w:val="009C479E"/>
    <w:rsid w:val="009F4245"/>
    <w:rsid w:val="009F594D"/>
    <w:rsid w:val="00A009B3"/>
    <w:rsid w:val="00A239E7"/>
    <w:rsid w:val="00A34EDA"/>
    <w:rsid w:val="00AA13D0"/>
    <w:rsid w:val="00AC0B18"/>
    <w:rsid w:val="00AC1D87"/>
    <w:rsid w:val="00AC2605"/>
    <w:rsid w:val="00AE136F"/>
    <w:rsid w:val="00AE6C82"/>
    <w:rsid w:val="00AE7A56"/>
    <w:rsid w:val="00AF0871"/>
    <w:rsid w:val="00AF530E"/>
    <w:rsid w:val="00AF5DFE"/>
    <w:rsid w:val="00B006E5"/>
    <w:rsid w:val="00B24234"/>
    <w:rsid w:val="00B3219F"/>
    <w:rsid w:val="00B64D13"/>
    <w:rsid w:val="00B76725"/>
    <w:rsid w:val="00BC38D2"/>
    <w:rsid w:val="00BC65E4"/>
    <w:rsid w:val="00BE0A9F"/>
    <w:rsid w:val="00C01003"/>
    <w:rsid w:val="00C87860"/>
    <w:rsid w:val="00C92609"/>
    <w:rsid w:val="00C974A0"/>
    <w:rsid w:val="00CA0969"/>
    <w:rsid w:val="00CB7A14"/>
    <w:rsid w:val="00CD1E0A"/>
    <w:rsid w:val="00CE40E2"/>
    <w:rsid w:val="00CE4AEB"/>
    <w:rsid w:val="00CE74CB"/>
    <w:rsid w:val="00D00B68"/>
    <w:rsid w:val="00D04E19"/>
    <w:rsid w:val="00D6644C"/>
    <w:rsid w:val="00D71F68"/>
    <w:rsid w:val="00D767F4"/>
    <w:rsid w:val="00DA07A0"/>
    <w:rsid w:val="00DB6F81"/>
    <w:rsid w:val="00DD3B82"/>
    <w:rsid w:val="00E02851"/>
    <w:rsid w:val="00E43F43"/>
    <w:rsid w:val="00EB1FF2"/>
    <w:rsid w:val="00EB49C8"/>
    <w:rsid w:val="00EE3598"/>
    <w:rsid w:val="00EE791B"/>
    <w:rsid w:val="00F040C7"/>
    <w:rsid w:val="00F04DC0"/>
    <w:rsid w:val="00F24BA1"/>
    <w:rsid w:val="00F45607"/>
    <w:rsid w:val="00F552F7"/>
    <w:rsid w:val="00F57EE2"/>
    <w:rsid w:val="00F777E1"/>
    <w:rsid w:val="00F80266"/>
    <w:rsid w:val="00F83E19"/>
    <w:rsid w:val="00FB3828"/>
    <w:rsid w:val="00FC7A52"/>
    <w:rsid w:val="00FE0761"/>
    <w:rsid w:val="00FF5166"/>
    <w:rsid w:val="06792773"/>
    <w:rsid w:val="14E43C54"/>
    <w:rsid w:val="1DAF458D"/>
    <w:rsid w:val="2A053397"/>
    <w:rsid w:val="2BF7040A"/>
    <w:rsid w:val="2D1136DF"/>
    <w:rsid w:val="31C63837"/>
    <w:rsid w:val="3D5275AC"/>
    <w:rsid w:val="46901EEE"/>
    <w:rsid w:val="469C74D2"/>
    <w:rsid w:val="48D07BFD"/>
    <w:rsid w:val="50DB5F45"/>
    <w:rsid w:val="527B773D"/>
    <w:rsid w:val="559237A4"/>
    <w:rsid w:val="612D06A8"/>
    <w:rsid w:val="69AD798C"/>
    <w:rsid w:val="6B68175F"/>
    <w:rsid w:val="73FB6630"/>
    <w:rsid w:val="77ED6F4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qFormat="1"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qFormat="1" w:unhideWhenUsed="0" w:uiPriority="0" w:semiHidden="0" w:name="annotation text"/>
    <w:lsdException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nhideWhenUsed="0" w:uiPriority="0" w:semiHidden="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nhideWhenUsed="0" w:uiPriority="0" w:semiHidden="0" w:name="Balloon Text"/>
    <w:lsdException w:unhideWhenUsed="0" w:uiPriority="0"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imes New Roman" w:hAnsi="Times New Roman" w:eastAsia="宋体" w:cs="Times New Roman"/>
      <w:kern w:val="2"/>
      <w:sz w:val="21"/>
      <w:szCs w:val="24"/>
      <w:lang w:val="en-US" w:eastAsia="zh-CN" w:bidi="ar-SA"/>
    </w:rPr>
  </w:style>
  <w:style w:type="character" w:default="1" w:styleId="9">
    <w:name w:val="Default Paragraph Font"/>
    <w:semiHidden/>
    <w:unhideWhenUsed/>
    <w:uiPriority w:val="1"/>
  </w:style>
  <w:style w:type="table" w:default="1" w:styleId="8">
    <w:name w:val="Normal Table"/>
    <w:semiHidden/>
    <w:unhideWhenUsed/>
    <w:uiPriority w:val="99"/>
    <w:tblPr>
      <w:tblLayout w:type="fixed"/>
      <w:tblCellMar>
        <w:top w:w="0" w:type="dxa"/>
        <w:left w:w="108" w:type="dxa"/>
        <w:bottom w:w="0" w:type="dxa"/>
        <w:right w:w="108" w:type="dxa"/>
      </w:tblCellMar>
    </w:tblPr>
  </w:style>
  <w:style w:type="paragraph" w:styleId="2">
    <w:name w:val="annotation text"/>
    <w:basedOn w:val="1"/>
    <w:qFormat/>
    <w:uiPriority w:val="0"/>
    <w:pPr>
      <w:jc w:val="left"/>
    </w:pPr>
  </w:style>
  <w:style w:type="paragraph" w:styleId="3">
    <w:name w:val="toc 3"/>
    <w:basedOn w:val="1"/>
    <w:next w:val="1"/>
    <w:uiPriority w:val="0"/>
    <w:pPr>
      <w:ind w:left="840" w:leftChars="400"/>
    </w:p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toc 1"/>
    <w:basedOn w:val="1"/>
    <w:next w:val="1"/>
    <w:uiPriority w:val="0"/>
  </w:style>
  <w:style w:type="paragraph" w:styleId="7">
    <w:name w:val="toc 2"/>
    <w:basedOn w:val="1"/>
    <w:next w:val="1"/>
    <w:qFormat/>
    <w:uiPriority w:val="0"/>
    <w:pPr>
      <w:ind w:left="420" w:leftChars="200"/>
    </w:pPr>
  </w:style>
  <w:style w:type="paragraph" w:customStyle="1" w:styleId="10">
    <w:name w:val="WPSOffice手动目录 3"/>
    <w:qFormat/>
    <w:uiPriority w:val="0"/>
    <w:pPr>
      <w:ind w:left="400" w:leftChars="400"/>
    </w:pPr>
    <w:rPr>
      <w:rFonts w:ascii="Times New Roman" w:hAnsi="Times New Roman" w:eastAsia="宋体" w:cs="Times New Roman"/>
      <w:lang w:val="en-US" w:eastAsia="zh-CN" w:bidi="ar-SA"/>
    </w:rPr>
  </w:style>
  <w:style w:type="paragraph" w:customStyle="1" w:styleId="11">
    <w:name w:val="WPSOffice手动目录 2"/>
    <w:qFormat/>
    <w:uiPriority w:val="0"/>
    <w:pPr>
      <w:ind w:left="200" w:leftChars="200"/>
    </w:pPr>
    <w:rPr>
      <w:rFonts w:ascii="Times New Roman" w:hAnsi="Times New Roman" w:eastAsia="宋体" w:cs="Times New Roman"/>
      <w:lang w:val="en-US" w:eastAsia="zh-CN" w:bidi="ar-SA"/>
    </w:rPr>
  </w:style>
  <w:style w:type="paragraph" w:customStyle="1" w:styleId="12">
    <w:name w:val="WPSOffice手动目录 1"/>
    <w:qFormat/>
    <w:uiPriority w:val="0"/>
    <w:rPr>
      <w:rFonts w:ascii="Times New Roman" w:hAnsi="Times New Roman" w:eastAsia="宋体" w:cs="Times New Roman"/>
      <w:lang w:val="en-US" w:eastAsia="zh-CN" w:bidi="ar-SA"/>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13</Pages>
  <Words>1056</Words>
  <Characters>6024</Characters>
  <Lines>50</Lines>
  <Paragraphs>14</Paragraphs>
  <TotalTime>1</TotalTime>
  <ScaleCrop>false</ScaleCrop>
  <LinksUpToDate>false</LinksUpToDate>
  <CharactersWithSpaces>7066</CharactersWithSpaces>
  <Application>WPS Office_11.8.2.8506_F1E327BC-269C-435d-A152-05C5408002CA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2020-07-16T02:47:00Z</dcterms:created>
  <dc:creator>GXR</dc:creator>
  <cp:lastModifiedBy>Administrator</cp:lastModifiedBy>
  <dcterms:modified xsi:type="dcterms:W3CDTF">2021-07-11T07:50:13Z</dcterms:modified>
  <cp:revision>154</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2052-11.8.2.8506</vt:lpwstr>
  </property>
</Properties>
</file>