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喀什地区农村数字电影服务管理中心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2019年电影节目费项目支出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绩效评价报告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52"/>
          <w:szCs w:val="52"/>
        </w:rPr>
      </w:pP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52"/>
          <w:szCs w:val="52"/>
        </w:rPr>
      </w:pP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52"/>
          <w:szCs w:val="52"/>
        </w:rPr>
      </w:pP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52"/>
          <w:szCs w:val="52"/>
        </w:rPr>
      </w:pP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left"/>
        <w:textAlignment w:val="auto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</w:rPr>
        <w:t>节目费项目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left"/>
        <w:textAlignment w:val="auto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</w:t>
      </w:r>
      <w:r>
        <w:rPr>
          <w:rFonts w:hint="eastAsia" w:hAnsi="宋体" w:eastAsia="仿宋_GB2312" w:cs="宋体"/>
          <w:kern w:val="0"/>
          <w:sz w:val="36"/>
          <w:szCs w:val="36"/>
        </w:rPr>
        <w:t>喀什地区农村数字电影服务管理中心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560" w:lineRule="exact"/>
        <w:textAlignment w:val="auto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</w:t>
      </w:r>
      <w:r>
        <w:rPr>
          <w:rFonts w:hint="eastAsia" w:hAnsi="宋体" w:eastAsia="仿宋_GB2312" w:cs="宋体"/>
          <w:kern w:val="0"/>
          <w:sz w:val="36"/>
          <w:szCs w:val="36"/>
        </w:rPr>
        <w:t>喀什地区农村数字电影服务管理中心</w:t>
      </w: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560" w:lineRule="exact"/>
        <w:textAlignment w:val="auto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560" w:lineRule="exact"/>
        <w:textAlignment w:val="auto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560" w:lineRule="exact"/>
        <w:ind w:firstLine="712" w:firstLineChars="200"/>
        <w:textAlignment w:val="auto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560" w:lineRule="exact"/>
        <w:ind w:firstLine="2136" w:firstLineChars="600"/>
        <w:textAlignment w:val="auto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560" w:lineRule="exact"/>
        <w:ind w:firstLine="2848" w:firstLineChars="800"/>
        <w:textAlignment w:val="auto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left"/>
        <w:textAlignment w:val="auto"/>
        <w:rPr>
          <w:sz w:val="28"/>
          <w:szCs w:val="28"/>
        </w:rPr>
      </w:pP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textAlignment w:val="auto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</w:rPr>
      </w:pPr>
    </w:p>
    <w:p>
      <w:pPr>
        <w:pStyle w:val="22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firstLineChars="0"/>
        <w:textAlignment w:val="auto"/>
      </w:pPr>
      <w:r>
        <w:rPr>
          <w:rFonts w:hint="eastAsia"/>
        </w:rPr>
        <w:t>基本情况</w:t>
      </w:r>
    </w:p>
    <w:p>
      <w:pPr>
        <w:pStyle w:val="24"/>
        <w:pageBreakBefore w:val="0"/>
        <w:widowControl w:val="0"/>
        <w:kinsoku/>
        <w:wordWrap/>
        <w:overflowPunct/>
        <w:topLinePunct w:val="0"/>
        <w:bidi w:val="0"/>
        <w:adjustRightInd/>
        <w:spacing w:before="0" w:after="0" w:line="560" w:lineRule="exact"/>
        <w:ind w:left="0" w:firstLine="643" w:firstLineChars="200"/>
        <w:textAlignment w:val="auto"/>
      </w:pPr>
      <w:bookmarkStart w:id="0" w:name="_Toc26401549"/>
      <w:r>
        <w:rPr>
          <w:rFonts w:hint="eastAsia"/>
        </w:rPr>
        <w:t>项目概况</w:t>
      </w:r>
      <w:bookmarkEnd w:id="0"/>
    </w:p>
    <w:p>
      <w:pPr>
        <w:pStyle w:val="18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pacing w:line="560" w:lineRule="exact"/>
        <w:ind w:firstLineChars="0"/>
        <w:textAlignment w:val="auto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项目背景及立项依据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根据喀机编字【2008】56号文件精神，我单位主要职责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textAlignment w:val="auto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是为全地区实施农村数字电影放映文化惠民工程提供影片购买、下载、授权服务，提供放映技术、设备维护服务等工作，我区农村电影放映工程覆盖2312个行政村，核定年度放映任务27744场，2019年单场预估价格17.5元，根据政府购买服务原则，由地区财政拨付专项节目费48.55万元。</w:t>
      </w:r>
    </w:p>
    <w:p>
      <w:pPr>
        <w:pStyle w:val="18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pacing w:line="560" w:lineRule="exact"/>
        <w:ind w:firstLineChars="0"/>
        <w:textAlignment w:val="auto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项目主要内容及实施情况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579" w:firstLineChars="181"/>
        <w:textAlignment w:val="auto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根据2019年电影分配计划，核定年度放映任务27744场，该项目经费主要用于我区农村电影放映工程覆盖2312个行政村，保证每村一月一场电影，在12月已超额完成，实际订购播放29416场电影。</w:t>
      </w:r>
    </w:p>
    <w:p>
      <w:pPr>
        <w:pageBreakBefore w:val="0"/>
        <w:widowControl w:val="0"/>
        <w:tabs>
          <w:tab w:val="left" w:pos="7770"/>
        </w:tabs>
        <w:kinsoku/>
        <w:wordWrap/>
        <w:overflowPunct/>
        <w:topLinePunct w:val="0"/>
        <w:bidi w:val="0"/>
        <w:adjustRightInd/>
        <w:spacing w:line="560" w:lineRule="exact"/>
        <w:ind w:firstLine="645"/>
        <w:textAlignment w:val="auto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3.项目负责人：</w:t>
      </w:r>
      <w:r>
        <w:rPr>
          <w:rFonts w:hint="eastAsia" w:ascii="仿宋_GB2312" w:hAnsi="仿宋" w:eastAsia="仿宋_GB2312" w:cs="宋体"/>
          <w:sz w:val="32"/>
          <w:szCs w:val="32"/>
        </w:rPr>
        <w:t>农影中心主任，主要职责为确保该项经费专款专用，项目实施科学可行，切实为12县市群众提高业余生活质量，确保群众受益。</w:t>
      </w:r>
    </w:p>
    <w:p>
      <w:pPr>
        <w:pStyle w:val="24"/>
        <w:pageBreakBefore w:val="0"/>
        <w:widowControl w:val="0"/>
        <w:kinsoku/>
        <w:wordWrap/>
        <w:overflowPunct/>
        <w:topLinePunct w:val="0"/>
        <w:bidi w:val="0"/>
        <w:adjustRightInd/>
        <w:spacing w:before="0" w:after="0" w:line="560" w:lineRule="exact"/>
        <w:ind w:left="0" w:firstLine="643" w:firstLineChars="200"/>
        <w:textAlignment w:val="auto"/>
      </w:pPr>
      <w:bookmarkStart w:id="1" w:name="_Toc26401550"/>
      <w:r>
        <w:rPr>
          <w:rFonts w:hint="eastAsia"/>
        </w:rPr>
        <w:t>资金</w:t>
      </w:r>
      <w:bookmarkEnd w:id="1"/>
      <w:r>
        <w:rPr>
          <w:rFonts w:hint="eastAsia"/>
        </w:rPr>
        <w:t>投入和使用情况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5"/>
        <w:textAlignment w:val="auto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总投资48.55万元，资金来源为本级部门预算资金48.55万元。根据2019年电影分配计划，下达2019年自治区专项资金电影节目费48.55万元，于2019年3月到位，此经费用于开展全区电影节目购置，2019年12月实施完毕，购置电影29416场电影，拨付32.05万元，剩余资金16.54万元财政收回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5"/>
        <w:textAlignment w:val="auto"/>
        <w:rPr>
          <w:rFonts w:ascii="仿宋_GB2312" w:hAnsi="仿宋" w:eastAsia="仿宋_GB2312" w:cs="宋体"/>
          <w:sz w:val="32"/>
          <w:szCs w:val="32"/>
        </w:rPr>
      </w:pPr>
    </w:p>
    <w:p>
      <w:pPr>
        <w:pStyle w:val="24"/>
        <w:pageBreakBefore w:val="0"/>
        <w:widowControl w:val="0"/>
        <w:kinsoku/>
        <w:wordWrap/>
        <w:overflowPunct/>
        <w:topLinePunct w:val="0"/>
        <w:bidi w:val="0"/>
        <w:adjustRightInd/>
        <w:spacing w:before="0" w:after="0" w:line="560" w:lineRule="exact"/>
        <w:ind w:left="0" w:firstLine="643" w:firstLineChars="200"/>
        <w:textAlignment w:val="auto"/>
      </w:pPr>
      <w:bookmarkStart w:id="2" w:name="_Toc26401551"/>
      <w:r>
        <w:rPr>
          <w:rFonts w:hint="eastAsia"/>
        </w:rPr>
        <w:t>绩效目标</w:t>
      </w:r>
      <w:bookmarkEnd w:id="2"/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3" w:firstLineChars="200"/>
        <w:textAlignment w:val="auto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总体目标为</w:t>
      </w:r>
      <w:r>
        <w:rPr>
          <w:rFonts w:hint="eastAsia" w:ascii="仿宋_GB2312" w:hAnsi="仿宋" w:eastAsia="仿宋_GB2312" w:cs="宋体"/>
          <w:sz w:val="32"/>
          <w:szCs w:val="32"/>
        </w:rPr>
        <w:t>：本单位预计保证2312个行政村全覆盖，全区12县市群众受益，丰富业余生活，提高农牧民精神文化生活水平，感恩党的关怀，于2019年12月购置电影全部播放到位，保证2312个行政村全覆盖，全区12县市群众受益。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textAlignment w:val="auto"/>
        <w:rPr>
          <w:rFonts w:ascii="仿宋_GB2312" w:hAnsi="仿宋" w:eastAsia="仿宋_GB2312" w:cs="宋体"/>
          <w:color w:val="0000FF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 xml:space="preserve"> </w:t>
      </w:r>
      <w:r>
        <w:rPr>
          <w:rFonts w:ascii="仿宋_GB2312" w:hAnsi="仿宋" w:eastAsia="仿宋_GB2312" w:cs="宋体"/>
          <w:sz w:val="32"/>
          <w:szCs w:val="32"/>
        </w:rPr>
        <w:t xml:space="preserve">   </w:t>
      </w:r>
      <w:r>
        <w:rPr>
          <w:rFonts w:hint="eastAsia" w:ascii="仿宋_GB2312" w:hAnsi="仿宋" w:eastAsia="仿宋_GB2312" w:cs="宋体"/>
          <w:sz w:val="32"/>
          <w:szCs w:val="32"/>
        </w:rPr>
        <w:t>项目共设置</w:t>
      </w:r>
      <w:r>
        <w:rPr>
          <w:rFonts w:ascii="仿宋_GB2312" w:hAnsi="仿宋" w:eastAsia="仿宋_GB2312" w:cs="宋体"/>
          <w:sz w:val="32"/>
          <w:szCs w:val="32"/>
        </w:rPr>
        <w:t>1</w:t>
      </w:r>
      <w:r>
        <w:rPr>
          <w:rFonts w:hint="eastAsia" w:ascii="仿宋_GB2312" w:hAnsi="仿宋" w:eastAsia="仿宋_GB2312" w:cs="宋体"/>
          <w:sz w:val="32"/>
          <w:szCs w:val="32"/>
        </w:rPr>
        <w:t>级指标3个，二级指标7个，三级指标10个，绩效目标申报表详见附件1。</w:t>
      </w:r>
    </w:p>
    <w:p>
      <w:pPr>
        <w:pStyle w:val="22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firstLineChars="0"/>
        <w:textAlignment w:val="auto"/>
      </w:pPr>
      <w:bookmarkStart w:id="3" w:name="_Toc26401552"/>
      <w:r>
        <w:rPr>
          <w:rFonts w:hint="eastAsia"/>
        </w:rPr>
        <w:t>评价工作简述</w:t>
      </w:r>
      <w:bookmarkEnd w:id="3"/>
    </w:p>
    <w:p>
      <w:pPr>
        <w:pStyle w:val="24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left="0" w:firstLine="643" w:firstLineChars="200"/>
        <w:textAlignment w:val="auto"/>
      </w:pPr>
      <w:bookmarkStart w:id="4" w:name="_Toc26401553"/>
      <w:r>
        <w:rPr>
          <w:rFonts w:hint="eastAsia"/>
        </w:rPr>
        <w:t>评价目的</w:t>
      </w:r>
      <w:bookmarkEnd w:id="4"/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hAnsi="仿宋" w:eastAsia="仿宋_GB2312" w:cs="宋体"/>
          <w:sz w:val="32"/>
          <w:szCs w:val="32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</w:rPr>
        <w:t>旨在评价2019年自治区专项资金电影节目费48.55万元，于2019年3月到位，此经费用于开展全区电影节目购置，2019年12月实施完毕，购置电影29416场电影，拨付32.05万元，确保2312个行政村全覆盖，保证每村一月一场电影，全区12县市群众受益，取得良好的社会效益。</w:t>
      </w:r>
    </w:p>
    <w:p>
      <w:pPr>
        <w:pStyle w:val="24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left="0" w:firstLine="643" w:firstLineChars="200"/>
        <w:textAlignment w:val="auto"/>
      </w:pPr>
      <w:r>
        <w:rPr>
          <w:rFonts w:hint="eastAsia"/>
        </w:rPr>
        <w:t>本次绩效评价的对象及范围</w:t>
      </w:r>
      <w:bookmarkStart w:id="5" w:name="_Toc26401554"/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本次评价对象为</w:t>
      </w:r>
      <w:r>
        <w:rPr>
          <w:rFonts w:hint="eastAsia" w:ascii="仿宋_GB2312" w:hAnsi="仿宋" w:eastAsia="仿宋_GB2312" w:cs="宋体"/>
          <w:sz w:val="32"/>
          <w:szCs w:val="32"/>
        </w:rPr>
        <w:t>2019年自治区专项资金电影节目费48.55万元</w:t>
      </w:r>
      <w:r>
        <w:rPr>
          <w:rFonts w:ascii="仿宋_GB2312" w:hAnsi="仿宋" w:eastAsia="仿宋_GB2312" w:cs="宋体"/>
          <w:sz w:val="32"/>
          <w:szCs w:val="32"/>
        </w:rPr>
        <w:t>项目资金，评价范围包括专项资</w:t>
      </w:r>
      <w:r>
        <w:rPr>
          <w:rFonts w:hint="eastAsia" w:ascii="仿宋_GB2312" w:hAnsi="仿宋" w:eastAsia="仿宋_GB2312" w:cs="宋体"/>
          <w:sz w:val="32"/>
          <w:szCs w:val="32"/>
        </w:rPr>
        <w:t>金的安排、组织及使用效益。</w:t>
      </w:r>
    </w:p>
    <w:p>
      <w:pPr>
        <w:pStyle w:val="24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left="0" w:firstLine="643" w:firstLineChars="200"/>
        <w:textAlignment w:val="auto"/>
      </w:pPr>
      <w:r>
        <w:rPr>
          <w:rFonts w:hint="eastAsia"/>
        </w:rPr>
        <w:t>绩效评价原则</w:t>
      </w:r>
      <w:bookmarkEnd w:id="5"/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本次绩效评价遵循的原则包括：</w:t>
      </w:r>
    </w:p>
    <w:p>
      <w:pPr>
        <w:pStyle w:val="24"/>
        <w:keepNext w:val="0"/>
        <w:keepLines w:val="0"/>
        <w:pageBreakBefore w:val="0"/>
        <w:widowControl w:val="0"/>
        <w:numPr>
          <w:ilvl w:val="1"/>
          <w:numId w:val="5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left="0" w:firstLine="640" w:firstLineChars="200"/>
        <w:textAlignment w:val="auto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科学公正。绩效评价应当运用科学合理的方法，按照规范的程序，对项目绩效进行客观、公正的反映。</w:t>
      </w:r>
    </w:p>
    <w:p>
      <w:pPr>
        <w:pStyle w:val="24"/>
        <w:keepNext w:val="0"/>
        <w:keepLines w:val="0"/>
        <w:pageBreakBefore w:val="0"/>
        <w:widowControl w:val="0"/>
        <w:numPr>
          <w:ilvl w:val="1"/>
          <w:numId w:val="5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left="0" w:firstLine="640" w:firstLineChars="200"/>
        <w:textAlignment w:val="auto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4"/>
        <w:keepNext w:val="0"/>
        <w:keepLines w:val="0"/>
        <w:pageBreakBefore w:val="0"/>
        <w:widowControl w:val="0"/>
        <w:numPr>
          <w:ilvl w:val="1"/>
          <w:numId w:val="5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left="0" w:firstLine="640" w:firstLineChars="200"/>
        <w:textAlignment w:val="auto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4"/>
        <w:keepNext w:val="0"/>
        <w:keepLines w:val="0"/>
        <w:pageBreakBefore w:val="0"/>
        <w:widowControl w:val="0"/>
        <w:numPr>
          <w:ilvl w:val="1"/>
          <w:numId w:val="5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left="0" w:firstLine="640" w:firstLineChars="200"/>
        <w:textAlignment w:val="auto"/>
        <w:rPr>
          <w:b w:val="0"/>
        </w:rPr>
      </w:pPr>
      <w:r>
        <w:rPr>
          <w:rFonts w:hint="eastAsia" w:hAnsi="仿宋" w:cs="宋体"/>
          <w:b w:val="0"/>
        </w:rPr>
        <w:t>公开透明。绩效评价结果应依法依规公开，并自觉接受社会监督。</w:t>
      </w:r>
      <w:r>
        <w:rPr>
          <w:rFonts w:hint="eastAsia"/>
          <w:b w:val="0"/>
        </w:rPr>
        <w:t>绩效评价体系</w:t>
      </w:r>
    </w:p>
    <w:p>
      <w:pPr>
        <w:pStyle w:val="24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left="0" w:firstLine="643" w:firstLineChars="200"/>
        <w:textAlignment w:val="auto"/>
      </w:pPr>
      <w:r>
        <w:rPr>
          <w:rFonts w:hint="eastAsia"/>
        </w:rPr>
        <w:t>本项目绩效评价体系</w:t>
      </w:r>
    </w:p>
    <w:p>
      <w:pPr>
        <w:pStyle w:val="2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firstLine="640" w:firstLineChars="200"/>
        <w:textAlignment w:val="auto"/>
        <w:rPr>
          <w:rFonts w:hint="eastAsia" w:eastAsia="仿宋_GB2312"/>
          <w:b w:val="0"/>
          <w:lang w:val="en-US" w:eastAsia="zh-CN"/>
        </w:rPr>
      </w:pPr>
      <w:r>
        <w:rPr>
          <w:rFonts w:hint="eastAsia"/>
          <w:b w:val="0"/>
        </w:rPr>
        <w:t>本项目绩效评价体系为根据财预</w:t>
      </w:r>
      <w:r>
        <w:rPr>
          <w:rFonts w:hint="eastAsia" w:ascii="仿宋" w:hAnsi="仿宋" w:eastAsia="仿宋"/>
          <w:b w:val="0"/>
        </w:rPr>
        <w:t>﹝</w:t>
      </w:r>
      <w:r>
        <w:rPr>
          <w:rFonts w:hint="eastAsia"/>
          <w:b w:val="0"/>
        </w:rPr>
        <w:t>2</w:t>
      </w:r>
      <w:r>
        <w:rPr>
          <w:b w:val="0"/>
        </w:rPr>
        <w:t>020</w:t>
      </w:r>
      <w:r>
        <w:rPr>
          <w:rFonts w:hint="eastAsia" w:ascii="仿宋" w:hAnsi="仿宋" w:eastAsia="仿宋"/>
          <w:b w:val="0"/>
        </w:rPr>
        <w:t>﹞</w:t>
      </w:r>
      <w:r>
        <w:rPr>
          <w:rFonts w:hint="eastAsia"/>
          <w:b w:val="0"/>
        </w:rPr>
        <w:t>1</w:t>
      </w:r>
      <w:r>
        <w:rPr>
          <w:b w:val="0"/>
        </w:rPr>
        <w:t>0</w:t>
      </w:r>
      <w:r>
        <w:rPr>
          <w:rFonts w:hint="eastAsia"/>
          <w:b w:val="0"/>
        </w:rPr>
        <w:t>号共性指标及个性化指标设置，</w:t>
      </w:r>
      <w:r>
        <w:rPr>
          <w:rFonts w:hint="eastAsia" w:ascii="仿宋_GB2312" w:eastAsia="仿宋_GB2312" w:hAnsiTheme="majorHAnsi"/>
          <w:b w:val="0"/>
          <w:bCs w:val="0"/>
          <w:kern w:val="2"/>
        </w:rPr>
        <w:t>详见附件</w:t>
      </w:r>
      <w:r>
        <w:rPr>
          <w:rFonts w:hint="eastAsia"/>
          <w:b w:val="0"/>
          <w:bCs w:val="0"/>
          <w:kern w:val="2"/>
          <w:lang w:val="en-US" w:eastAsia="zh-CN"/>
        </w:rPr>
        <w:t>4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left="0" w:firstLine="643" w:firstLineChars="200"/>
        <w:textAlignment w:val="auto"/>
      </w:pPr>
      <w:bookmarkStart w:id="6" w:name="_Toc26401555"/>
      <w:r>
        <w:rPr>
          <w:rFonts w:hint="eastAsia"/>
        </w:rPr>
        <w:t>绩效评价方法</w:t>
      </w:r>
      <w:bookmarkEnd w:id="6"/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5"/>
        <w:textAlignment w:val="auto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本次绩效评价方法的选用简便有效的原则采用成本效益分析法。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left="0" w:firstLine="643" w:firstLineChars="200"/>
        <w:textAlignment w:val="auto"/>
      </w:pPr>
      <w:r>
        <w:rPr>
          <w:rFonts w:hint="eastAsia"/>
        </w:rPr>
        <w:t>评价标准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5"/>
        <w:textAlignment w:val="auto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 xml:space="preserve"> 项目评价标准采用计划标准。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left="0" w:firstLine="643" w:firstLineChars="200"/>
        <w:textAlignment w:val="auto"/>
      </w:pPr>
      <w:r>
        <w:rPr>
          <w:rFonts w:hint="eastAsia"/>
        </w:rPr>
        <w:t>绩效评价工作过程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firstLine="640" w:firstLineChars="200"/>
        <w:textAlignment w:val="auto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</w:t>
      </w:r>
      <w:r>
        <w:rPr>
          <w:rFonts w:hint="eastAsia"/>
          <w:b w:val="0"/>
          <w:bCs w:val="0"/>
          <w:lang w:eastAsia="zh-CN"/>
        </w:rPr>
        <w:t>小组</w:t>
      </w:r>
      <w:r>
        <w:rPr>
          <w:rFonts w:hint="eastAsia"/>
          <w:b w:val="0"/>
          <w:bCs w:val="0"/>
        </w:rPr>
        <w:t>，成员如下：</w:t>
      </w:r>
    </w:p>
    <w:p>
      <w:pPr>
        <w:pStyle w:val="2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firstLine="640" w:firstLineChars="200"/>
        <w:textAlignment w:val="auto"/>
        <w:outlineLvl w:val="9"/>
        <w:rPr>
          <w:b w:val="0"/>
          <w:bCs w:val="0"/>
        </w:rPr>
      </w:pPr>
    </w:p>
    <w:tbl>
      <w:tblPr>
        <w:tblStyle w:val="13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pacing w:before="0" w:after="0" w:line="5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pacing w:before="0" w:after="0" w:line="5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pacing w:before="0" w:after="0" w:line="5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pacing w:before="0" w:after="0" w:line="5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彭志军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pacing w:before="0" w:after="0" w:line="5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pacing w:before="0" w:after="0" w:line="560" w:lineRule="exact"/>
              <w:jc w:val="center"/>
              <w:textAlignment w:val="auto"/>
              <w:rPr>
                <w:rFonts w:hint="eastAsia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</w:rPr>
              <w:t>副</w:t>
            </w:r>
            <w:r>
              <w:rPr>
                <w:rFonts w:hint="eastAsia"/>
                <w:b w:val="0"/>
                <w:bCs w:val="0"/>
                <w:lang w:eastAsia="zh-CN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pacing w:before="0" w:after="0" w:line="5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黄苏英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pacing w:before="0" w:after="0" w:line="5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pacing w:before="0" w:after="0" w:line="5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中级会计师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pacing w:before="0" w:after="0" w:line="5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周永平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pacing w:before="0" w:after="0" w:line="560" w:lineRule="exact"/>
              <w:jc w:val="center"/>
              <w:textAlignment w:val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pacing w:before="0" w:after="0" w:line="560" w:lineRule="exact"/>
              <w:jc w:val="center"/>
              <w:textAlignment w:val="auto"/>
              <w:rPr>
                <w:b w:val="0"/>
                <w:bCs w:val="0"/>
                <w:w w:val="90"/>
              </w:rPr>
            </w:pPr>
            <w:r>
              <w:rPr>
                <w:rFonts w:hint="eastAsia"/>
                <w:b w:val="0"/>
                <w:bCs w:val="0"/>
                <w:w w:val="90"/>
              </w:rPr>
              <w:t>副科（初级）地面站副站长</w:t>
            </w:r>
          </w:p>
        </w:tc>
      </w:tr>
    </w:tbl>
    <w:p>
      <w:pPr>
        <w:pStyle w:val="2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firstLine="640" w:firstLineChars="200"/>
        <w:textAlignment w:val="auto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本次评价设计了评价方案、评价指标体系，通过资料分析、调研、访谈等方式形成评价结论，在与项目单位沟通后确定评价意见，并出具评价报告。　</w:t>
      </w:r>
    </w:p>
    <w:p>
      <w:pPr>
        <w:pStyle w:val="22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firstLineChars="0"/>
        <w:textAlignment w:val="auto"/>
        <w:rPr>
          <w:rFonts w:ascii="黑体" w:hAnsi="黑体"/>
        </w:rPr>
      </w:pPr>
      <w:bookmarkStart w:id="7" w:name="_Toc26401558"/>
      <w:r>
        <w:rPr>
          <w:rFonts w:hint="eastAsia" w:ascii="黑体" w:hAnsi="黑体"/>
        </w:rPr>
        <w:t>综合评价情况及评价结论（附相关评分表）</w:t>
      </w:r>
    </w:p>
    <w:p>
      <w:pPr>
        <w:pStyle w:val="22"/>
        <w:pageBreakBefore w:val="0"/>
        <w:widowControl w:val="0"/>
        <w:kinsoku/>
        <w:wordWrap/>
        <w:overflowPunct/>
        <w:topLinePunct w:val="0"/>
        <w:bidi w:val="0"/>
        <w:adjustRightInd/>
        <w:spacing w:before="0" w:after="0" w:line="560" w:lineRule="exact"/>
        <w:ind w:firstLine="640"/>
        <w:textAlignment w:val="auto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hint="eastAsia" w:ascii="仿宋_GB2312" w:eastAsia="仿宋_GB2312" w:hAnsiTheme="majorHAnsi"/>
          <w:b w:val="0"/>
          <w:bCs w:val="0"/>
          <w:kern w:val="2"/>
        </w:rPr>
        <w:t>经评价组通过实地调研、资料分析等方式，采用成本效益分析法对项目的决策、管理、绩效进行的综合评价分析，项目得分为</w:t>
      </w:r>
      <w:r>
        <w:rPr>
          <w:rFonts w:hint="eastAsia" w:ascii="仿宋_GB2312" w:hAnsi="仿宋" w:eastAsia="仿宋_GB2312" w:cs="宋体"/>
          <w:kern w:val="2"/>
          <w:sz w:val="32"/>
          <w:szCs w:val="32"/>
          <w:lang w:val="en-US" w:eastAsia="zh-CN" w:bidi="ar-SA"/>
        </w:rPr>
        <w:t>96.3分</w:t>
      </w:r>
      <w:r>
        <w:rPr>
          <w:rFonts w:hint="eastAsia" w:ascii="仿宋_GB2312" w:eastAsia="仿宋_GB2312" w:hAnsiTheme="majorHAnsi"/>
          <w:b w:val="0"/>
          <w:bCs w:val="0"/>
          <w:kern w:val="2"/>
        </w:rPr>
        <w:t>，评价结果为优，详见附件</w:t>
      </w:r>
      <w:r>
        <w:rPr>
          <w:rFonts w:hint="eastAsia" w:ascii="仿宋_GB2312" w:eastAsia="仿宋_GB2312" w:hAnsiTheme="majorHAnsi"/>
          <w:b w:val="0"/>
          <w:bCs w:val="0"/>
          <w:kern w:val="2"/>
          <w:lang w:val="en-US" w:eastAsia="zh-CN"/>
        </w:rPr>
        <w:t>6</w:t>
      </w:r>
      <w:r>
        <w:rPr>
          <w:rFonts w:hint="eastAsia" w:ascii="仿宋_GB2312" w:eastAsia="仿宋_GB2312" w:hAnsiTheme="majorHAnsi"/>
          <w:b w:val="0"/>
          <w:bCs w:val="0"/>
          <w:kern w:val="2"/>
        </w:rPr>
        <w:t>。</w:t>
      </w:r>
    </w:p>
    <w:p>
      <w:pPr>
        <w:pStyle w:val="22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firstLineChars="0"/>
        <w:textAlignment w:val="auto"/>
      </w:pPr>
      <w:r>
        <w:rPr>
          <w:rFonts w:hint="eastAsia"/>
        </w:rPr>
        <w:t>绩效评价指标分析</w:t>
      </w:r>
      <w:bookmarkEnd w:id="7"/>
    </w:p>
    <w:p>
      <w:pPr>
        <w:pStyle w:val="18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bidi w:val="0"/>
        <w:adjustRightInd/>
        <w:spacing w:line="560" w:lineRule="exact"/>
        <w:ind w:left="0" w:firstLine="643"/>
        <w:textAlignment w:val="auto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项目的决策情况</w:t>
      </w:r>
    </w:p>
    <w:p>
      <w:pPr>
        <w:pStyle w:val="27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0"/>
        <w:textAlignment w:val="auto"/>
        <w:rPr>
          <w:rFonts w:ascii="仿宋_GB2312" w:hAnsi="仿宋" w:cs="宋体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</w:rPr>
        <w:t>本项目的立项符合相关法规政策及部门职责，依据充分；项目按照规定的程序申请设立；审批文件、材料符合相关要求；项目前期已经过必要的可行性研究、风险评估、绩效评估、集体决策。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计划数相对应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项目在资金投入方面，预算编制经过科学论证、有明确标准，资金额度与年度目标相适应，用以反映和考核项目预算编制的科学性、合理性情况。项目预算资金分配有测算依据，与补助单位实际相适应。</w:t>
      </w:r>
    </w:p>
    <w:p>
      <w:pPr>
        <w:pStyle w:val="18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bidi w:val="0"/>
        <w:adjustRightInd/>
        <w:spacing w:line="560" w:lineRule="exact"/>
        <w:ind w:left="0" w:firstLine="643"/>
        <w:textAlignment w:val="auto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项目的过程情况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5"/>
        <w:textAlignment w:val="auto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在资金管理方面，项目资金到位足额支付，资金使用符合国家法规和财务管理制度；资金拨付有完整的审批程序和手续，符合项目预算批复；不存在截留、挤占、挪用、虚列支出等情况。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5"/>
        <w:textAlignment w:val="auto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在项目组织实施方面，项目单位具有相应的财务和业务管理制度，财务和业务管理制度合法、合规、完整。项目实施遵守相关法律法规和相关管理规定。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5"/>
        <w:textAlignment w:val="auto"/>
        <w:rPr>
          <w:rFonts w:ascii="仿宋_GB2312" w:hAnsi="仿宋" w:eastAsia="仿宋_GB2312" w:cs="宋体"/>
          <w:sz w:val="32"/>
          <w:szCs w:val="32"/>
          <w:highlight w:val="green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支出手续完备，为保证项目质量和成本控制，我单位积极与北京对接，进行了协商，为保质保量完成提供了强有力的技术支撑，有效地推进了项目工作，项目实施完成后，由本项目相关人员（薛梅）于2019年12月20日卫星监测完成检查验收。卫星拍照等资料齐全并及时归档，场地设备、信息支撑等落实到位。</w:t>
      </w:r>
    </w:p>
    <w:p>
      <w:pPr>
        <w:pStyle w:val="18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3"/>
        <w:textAlignment w:val="auto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项目产出情况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60"/>
        <w:textAlignment w:val="auto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项目产出数量为：根据2019年全区电影计划分配任务，本项目资金预计48.55万元，其中财政资金48.55万元，其他资金0万元，资金到位48.55万元，实际拨付32.05万元；资金执行率66.01%。指标达到预期目标。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6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质量为资金拨付率100%、规范资金使用方向，成效率100%，预期指标值为资金拨付率100%、规范资金使用方向，成效率100%，实际完成值为资金拨付率66.01%、规范资金使用方向，成效率100%，指标达到预期目标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6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项目产出时效为资金拨付及时率100%，预期指标值为100%，实际完成值为100%，达到预期目标。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60"/>
        <w:textAlignment w:val="auto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_GB2312" w:hAnsi="仿宋" w:eastAsia="仿宋_GB2312" w:cs="宋体"/>
          <w:sz w:val="32"/>
          <w:szCs w:val="32"/>
        </w:rPr>
        <w:t>专项资金电影节目费48.55万元，</w:t>
      </w:r>
      <w:r>
        <w:rPr>
          <w:rFonts w:hint="eastAsia" w:ascii="仿宋_GB2312" w:eastAsia="仿宋_GB2312"/>
          <w:sz w:val="32"/>
          <w:szCs w:val="32"/>
        </w:rPr>
        <w:t>预期指标值为</w:t>
      </w:r>
      <w:r>
        <w:rPr>
          <w:rFonts w:hint="eastAsia" w:ascii="仿宋_GB2312" w:hAnsi="仿宋" w:eastAsia="仿宋_GB2312" w:cs="宋体"/>
          <w:sz w:val="32"/>
          <w:szCs w:val="32"/>
        </w:rPr>
        <w:t>48.55</w:t>
      </w:r>
      <w:r>
        <w:rPr>
          <w:rFonts w:hint="eastAsia" w:ascii="仿宋_GB2312" w:eastAsia="仿宋_GB2312"/>
          <w:sz w:val="32"/>
          <w:szCs w:val="32"/>
        </w:rPr>
        <w:t>万元，实际完成值为</w:t>
      </w:r>
      <w:r>
        <w:rPr>
          <w:rFonts w:hint="eastAsia" w:ascii="仿宋_GB2312" w:hAnsi="仿宋" w:eastAsia="仿宋_GB2312" w:cs="宋体"/>
          <w:sz w:val="32"/>
          <w:szCs w:val="32"/>
        </w:rPr>
        <w:t>32.05万元万元。</w:t>
      </w:r>
    </w:p>
    <w:p>
      <w:pPr>
        <w:pStyle w:val="18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bidi w:val="0"/>
        <w:adjustRightInd/>
        <w:spacing w:line="560" w:lineRule="exact"/>
        <w:ind w:left="0" w:firstLine="643"/>
        <w:textAlignment w:val="auto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项目效益情况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60"/>
        <w:textAlignment w:val="auto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项目实施产生的经济效益</w:t>
      </w:r>
      <w:r>
        <w:rPr>
          <w:rFonts w:hint="eastAsia" w:ascii="仿宋_GB2312" w:eastAsia="仿宋_GB2312"/>
          <w:sz w:val="32"/>
          <w:szCs w:val="32"/>
        </w:rPr>
        <w:t>指标为无，没有带来经济效益。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6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指标为项目受益对象2312个行政村，预期指标值为项目受益对象2312个行政村，实际完成值为项目受益对象2312个行政村，达到预期目标。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60"/>
        <w:textAlignment w:val="auto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项目实施产生的生态效益</w:t>
      </w:r>
      <w:r>
        <w:rPr>
          <w:rFonts w:hint="eastAsia" w:ascii="仿宋_GB2312" w:eastAsia="仿宋_GB2312"/>
          <w:sz w:val="32"/>
          <w:szCs w:val="32"/>
        </w:rPr>
        <w:t>指标为无，没有带来生态效益。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60"/>
        <w:textAlignment w:val="auto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项目的可持续效益效益</w:t>
      </w:r>
      <w:r>
        <w:rPr>
          <w:rFonts w:hint="eastAsia" w:ascii="仿宋_GB2312" w:eastAsia="仿宋_GB2312"/>
          <w:sz w:val="32"/>
          <w:szCs w:val="32"/>
        </w:rPr>
        <w:t>指标为不断为12县市2312个村的村民业余生活持续提升，预期指标值为不断为12县市2312个村的村民业余生活持续提升，实际完成值为95%</w:t>
      </w:r>
      <w:r>
        <w:rPr>
          <w:rFonts w:hint="eastAsia" w:ascii="仿宋_GB2312" w:hAnsi="仿宋" w:eastAsia="仿宋_GB2312" w:cs="宋体"/>
          <w:bCs/>
          <w:sz w:val="32"/>
          <w:szCs w:val="32"/>
        </w:rPr>
        <w:t>。达到了预期目标。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0" w:firstLineChars="200"/>
        <w:textAlignment w:val="auto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经成本效益分析，项目收益群众满意度为95%：达到了预期目标。</w:t>
      </w:r>
    </w:p>
    <w:p>
      <w:pPr>
        <w:pStyle w:val="22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firstLineChars="0"/>
        <w:textAlignment w:val="auto"/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24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left="0" w:firstLine="643" w:firstLineChars="200"/>
        <w:textAlignment w:val="auto"/>
      </w:pPr>
      <w:r>
        <w:rPr>
          <w:rFonts w:hint="eastAsia"/>
        </w:rPr>
        <w:t>主要经验及做法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640" w:firstLineChars="200"/>
        <w:textAlignment w:val="auto"/>
      </w:pPr>
      <w:r>
        <w:rPr>
          <w:rFonts w:hint="eastAsia" w:ascii="仿宋_GB2312" w:hAnsi="仿宋" w:eastAsia="仿宋_GB2312" w:cs="宋体"/>
          <w:bCs/>
          <w:sz w:val="32"/>
          <w:szCs w:val="32"/>
        </w:rPr>
        <w:t>本项目实施效果较好的原因主要是管理制度完善、责任落实到位，跟踪考核机制完善且运行有效，首先成立评价小组成员包含单位领导、项目负责人、财务负责人，不同的岗位和职责应用发挥自身专业和岗位作用；在资料收集和档案整理及分析上全面合理。其次是评价小组成员加强绩效基础理论学习，用绩效的理论和知识进行分析评价，客观、公正的分析项目实施情况、资金使用和支付情况、绩效目标的完成情况，对发现的问题及时分析总结；为下一年度工作提供依据，使项目取得了改善村容村貌和人居环境的良好效果。</w:t>
      </w:r>
    </w:p>
    <w:p>
      <w:pPr>
        <w:pStyle w:val="24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left="0" w:firstLine="643" w:firstLineChars="200"/>
        <w:textAlignment w:val="auto"/>
      </w:pPr>
      <w:r>
        <w:rPr>
          <w:rFonts w:hint="eastAsia"/>
        </w:rPr>
        <w:t>存在的问题及原因分析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564" w:firstLineChars="181"/>
        <w:textAlignment w:val="auto"/>
      </w:pPr>
      <w:r>
        <w:rPr>
          <w:rFonts w:hint="eastAsia" w:ascii="仿宋_GB2312" w:eastAsia="仿宋_GB2312"/>
          <w:spacing w:val="-4"/>
          <w:sz w:val="32"/>
          <w:szCs w:val="32"/>
        </w:rPr>
        <w:t>通过预算绩效管理，发现了工作中存在的不足，如项目资金到位较晚，1-4月未按期支付，导致了资金滞缓，影响了项目的进度，造成了资金的滞后支付。</w:t>
      </w:r>
    </w:p>
    <w:p>
      <w:pPr>
        <w:pStyle w:val="22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firstLineChars="0"/>
        <w:textAlignment w:val="auto"/>
        <w:rPr>
          <w:rFonts w:ascii="黑体" w:hAnsi="黑体"/>
        </w:rPr>
      </w:pPr>
      <w:r>
        <w:rPr>
          <w:rFonts w:hint="eastAsia" w:ascii="黑体" w:hAnsi="黑体"/>
        </w:rPr>
        <w:t>有关建议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564" w:firstLineChars="181"/>
        <w:textAlignment w:val="auto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年初做好资金计划，财政也快速下达资金，按照项目进度及时拨付资金，使资金使用效益最大化，减少不必要的浪费，节约成本。最好年初把指标就切到位，有利于促进项目的完成。</w:t>
      </w:r>
    </w:p>
    <w:p>
      <w:pPr>
        <w:pStyle w:val="22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adjustRightInd/>
        <w:spacing w:before="0" w:after="0" w:line="560" w:lineRule="exact"/>
        <w:ind w:firstLineChars="0"/>
        <w:textAlignment w:val="auto"/>
        <w:rPr>
          <w:rFonts w:ascii="黑体" w:hAnsi="黑体"/>
        </w:rPr>
      </w:pPr>
      <w:r>
        <w:rPr>
          <w:rFonts w:hint="eastAsia" w:ascii="黑体" w:hAnsi="黑体"/>
        </w:rPr>
        <w:t>其他需要说明的问题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ind w:firstLine="564" w:firstLineChars="181"/>
        <w:textAlignment w:val="auto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附件1：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喀什地区农村数字电影服务管理中心</w:t>
      </w:r>
      <w:r>
        <w:rPr>
          <w:rFonts w:hint="eastAsia" w:ascii="仿宋_GB2312" w:hAnsi="仿宋" w:eastAsia="仿宋_GB2312" w:cs="宋体"/>
          <w:sz w:val="32"/>
          <w:szCs w:val="32"/>
        </w:rPr>
        <w:t>节目费项目支出绩效目标申报表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附件2：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喀什地区农村数字电影服务管理中心</w:t>
      </w:r>
      <w:r>
        <w:rPr>
          <w:rFonts w:hint="eastAsia" w:ascii="仿宋_GB2312" w:hAnsi="仿宋" w:eastAsia="仿宋_GB2312" w:cs="宋体"/>
          <w:sz w:val="32"/>
          <w:szCs w:val="32"/>
        </w:rPr>
        <w:t>节目费项目支出绩效</w:t>
      </w:r>
      <w:bookmarkStart w:id="8" w:name="_GoBack"/>
      <w:bookmarkEnd w:id="8"/>
      <w:r>
        <w:rPr>
          <w:rFonts w:hint="eastAsia" w:ascii="仿宋_GB2312" w:hAnsi="仿宋" w:eastAsia="仿宋_GB2312" w:cs="宋体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附件3：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喀什地区农村数字电影服务管理中心</w:t>
      </w:r>
      <w:r>
        <w:rPr>
          <w:rFonts w:hint="eastAsia" w:ascii="仿宋_GB2312" w:hAnsi="仿宋" w:eastAsia="仿宋_GB2312" w:cs="宋体"/>
          <w:sz w:val="32"/>
          <w:szCs w:val="32"/>
        </w:rPr>
        <w:t>节目费项目支出绩效自评表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" w:eastAsia="仿宋_GB2312" w:cs="宋体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附件4：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喀什地区农村数字电影服务管理中心</w:t>
      </w:r>
      <w:r>
        <w:rPr>
          <w:rFonts w:hint="eastAsia" w:ascii="仿宋_GB2312" w:hAnsi="仿宋" w:eastAsia="仿宋_GB2312" w:cs="宋体"/>
          <w:sz w:val="32"/>
          <w:szCs w:val="32"/>
        </w:rPr>
        <w:t>节目费项目支出绩效评价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指标体系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" w:eastAsia="仿宋_GB2312" w:cs="宋体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宋体"/>
          <w:sz w:val="32"/>
          <w:szCs w:val="32"/>
        </w:rPr>
        <w:t>：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绩效评价依据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宋体"/>
          <w:sz w:val="32"/>
          <w:szCs w:val="32"/>
        </w:rPr>
        <w:t>：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喀什地区农村数字电影服务管理中心</w:t>
      </w:r>
      <w:r>
        <w:rPr>
          <w:rFonts w:hint="eastAsia" w:ascii="仿宋_GB2312" w:hAnsi="仿宋" w:eastAsia="仿宋_GB2312" w:cs="宋体"/>
          <w:sz w:val="32"/>
          <w:szCs w:val="32"/>
        </w:rPr>
        <w:t>节目费项目支出绩效评价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评分表</w:t>
      </w:r>
    </w:p>
    <w:p>
      <w:pPr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textAlignment w:val="auto"/>
        <w:rPr>
          <w:rFonts w:hint="eastAsia" w:ascii="仿宋_GB2312" w:hAnsi="仿宋" w:eastAsia="仿宋_GB2312" w:cs="宋体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4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5715"/>
    <w:rsid w:val="00022413"/>
    <w:rsid w:val="00037F93"/>
    <w:rsid w:val="00042126"/>
    <w:rsid w:val="000E0C7B"/>
    <w:rsid w:val="000F2007"/>
    <w:rsid w:val="00100A64"/>
    <w:rsid w:val="00100AA9"/>
    <w:rsid w:val="001143D6"/>
    <w:rsid w:val="0012798F"/>
    <w:rsid w:val="00132553"/>
    <w:rsid w:val="00151AF1"/>
    <w:rsid w:val="001745B9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44D9C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A498C"/>
    <w:rsid w:val="003C327E"/>
    <w:rsid w:val="003C4B3D"/>
    <w:rsid w:val="003C6E7F"/>
    <w:rsid w:val="003E0E95"/>
    <w:rsid w:val="003F02DB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83E47"/>
    <w:rsid w:val="00B9042A"/>
    <w:rsid w:val="00BA0855"/>
    <w:rsid w:val="00BA65AD"/>
    <w:rsid w:val="00BC7696"/>
    <w:rsid w:val="00C2671D"/>
    <w:rsid w:val="00C563AA"/>
    <w:rsid w:val="00C71FF0"/>
    <w:rsid w:val="00C77259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952E5"/>
    <w:rsid w:val="00E96169"/>
    <w:rsid w:val="00F0780F"/>
    <w:rsid w:val="00F16D54"/>
    <w:rsid w:val="00F5241B"/>
    <w:rsid w:val="00F6015C"/>
    <w:rsid w:val="00F75715"/>
    <w:rsid w:val="00FB2E2F"/>
    <w:rsid w:val="00FD300A"/>
    <w:rsid w:val="00FF137F"/>
    <w:rsid w:val="00FF6959"/>
    <w:rsid w:val="00FF6C14"/>
    <w:rsid w:val="01BE6316"/>
    <w:rsid w:val="044D49CA"/>
    <w:rsid w:val="051B220F"/>
    <w:rsid w:val="0595754E"/>
    <w:rsid w:val="05D07D96"/>
    <w:rsid w:val="0B815997"/>
    <w:rsid w:val="0E9C274C"/>
    <w:rsid w:val="0F2D2873"/>
    <w:rsid w:val="1092215B"/>
    <w:rsid w:val="129046DD"/>
    <w:rsid w:val="13187265"/>
    <w:rsid w:val="132F61EF"/>
    <w:rsid w:val="145F0E3C"/>
    <w:rsid w:val="15262182"/>
    <w:rsid w:val="153149FF"/>
    <w:rsid w:val="17236343"/>
    <w:rsid w:val="187C11C2"/>
    <w:rsid w:val="18A60E6B"/>
    <w:rsid w:val="18C97B6C"/>
    <w:rsid w:val="19DA13E1"/>
    <w:rsid w:val="1B301253"/>
    <w:rsid w:val="1B7C5930"/>
    <w:rsid w:val="1C6D00CF"/>
    <w:rsid w:val="1C7F5358"/>
    <w:rsid w:val="1D126400"/>
    <w:rsid w:val="1D8C01C2"/>
    <w:rsid w:val="1DF07990"/>
    <w:rsid w:val="1FA96D49"/>
    <w:rsid w:val="20101D2B"/>
    <w:rsid w:val="206C5907"/>
    <w:rsid w:val="217F35A7"/>
    <w:rsid w:val="219F2B5F"/>
    <w:rsid w:val="21DF0D60"/>
    <w:rsid w:val="228825B2"/>
    <w:rsid w:val="23920257"/>
    <w:rsid w:val="24E73B1F"/>
    <w:rsid w:val="24ED1639"/>
    <w:rsid w:val="25337F12"/>
    <w:rsid w:val="26F03C06"/>
    <w:rsid w:val="28D2151F"/>
    <w:rsid w:val="2A547683"/>
    <w:rsid w:val="2A9E2C0A"/>
    <w:rsid w:val="2C291D65"/>
    <w:rsid w:val="2D3603D3"/>
    <w:rsid w:val="2FD94450"/>
    <w:rsid w:val="321B3C0F"/>
    <w:rsid w:val="32A47462"/>
    <w:rsid w:val="336379A9"/>
    <w:rsid w:val="33A8287B"/>
    <w:rsid w:val="33D808AD"/>
    <w:rsid w:val="34F0778F"/>
    <w:rsid w:val="34FF0F05"/>
    <w:rsid w:val="360C7307"/>
    <w:rsid w:val="372E1AF6"/>
    <w:rsid w:val="38970750"/>
    <w:rsid w:val="391E1B36"/>
    <w:rsid w:val="3AC27FA2"/>
    <w:rsid w:val="3B5C09AD"/>
    <w:rsid w:val="3DBE2C47"/>
    <w:rsid w:val="3DD76236"/>
    <w:rsid w:val="400E6563"/>
    <w:rsid w:val="48AC70CF"/>
    <w:rsid w:val="4955593C"/>
    <w:rsid w:val="4BCB4F92"/>
    <w:rsid w:val="4BCC5263"/>
    <w:rsid w:val="4C064F57"/>
    <w:rsid w:val="503C5622"/>
    <w:rsid w:val="51440E73"/>
    <w:rsid w:val="51CC1AE1"/>
    <w:rsid w:val="51CE7CF9"/>
    <w:rsid w:val="529767DD"/>
    <w:rsid w:val="52BF4ACD"/>
    <w:rsid w:val="53507BAE"/>
    <w:rsid w:val="542A263A"/>
    <w:rsid w:val="54D52651"/>
    <w:rsid w:val="56123569"/>
    <w:rsid w:val="57964064"/>
    <w:rsid w:val="57FE719B"/>
    <w:rsid w:val="5E1341E6"/>
    <w:rsid w:val="5F265071"/>
    <w:rsid w:val="5FD77A0E"/>
    <w:rsid w:val="5FEB2B85"/>
    <w:rsid w:val="601A7864"/>
    <w:rsid w:val="60640304"/>
    <w:rsid w:val="615553B5"/>
    <w:rsid w:val="62A82CB2"/>
    <w:rsid w:val="63EF73F7"/>
    <w:rsid w:val="6427602A"/>
    <w:rsid w:val="652B3664"/>
    <w:rsid w:val="667765BF"/>
    <w:rsid w:val="67ED22B4"/>
    <w:rsid w:val="68741A95"/>
    <w:rsid w:val="69DB0F8A"/>
    <w:rsid w:val="6B1C0A7A"/>
    <w:rsid w:val="6B2264E0"/>
    <w:rsid w:val="6CEC2BFF"/>
    <w:rsid w:val="6DFD6071"/>
    <w:rsid w:val="6E7B7D6A"/>
    <w:rsid w:val="6EC27859"/>
    <w:rsid w:val="6F8012B9"/>
    <w:rsid w:val="715E685B"/>
    <w:rsid w:val="737457AF"/>
    <w:rsid w:val="740B40C7"/>
    <w:rsid w:val="74F36119"/>
    <w:rsid w:val="77464B70"/>
    <w:rsid w:val="7775238E"/>
    <w:rsid w:val="792828D4"/>
    <w:rsid w:val="797925D6"/>
    <w:rsid w:val="798318DE"/>
    <w:rsid w:val="79D27B6C"/>
    <w:rsid w:val="7A8638D9"/>
    <w:rsid w:val="7B8323D9"/>
    <w:rsid w:val="7C95190F"/>
    <w:rsid w:val="7CB8277D"/>
    <w:rsid w:val="7EAF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basedOn w:val="14"/>
    <w:qFormat/>
    <w:uiPriority w:val="0"/>
    <w:rPr>
      <w:b/>
      <w:bCs/>
    </w:rPr>
  </w:style>
  <w:style w:type="character" w:styleId="16">
    <w:name w:val="Hyperlink"/>
    <w:basedOn w:val="14"/>
    <w:unhideWhenUsed/>
    <w:qFormat/>
    <w:uiPriority w:val="99"/>
    <w:rPr>
      <w:color w:val="0563C1" w:themeColor="hyperlink"/>
      <w:u w:val="single"/>
    </w:rPr>
  </w:style>
  <w:style w:type="character" w:customStyle="1" w:styleId="17">
    <w:name w:val="标题 1 Char"/>
    <w:basedOn w:val="14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Char"/>
    <w:basedOn w:val="14"/>
    <w:link w:val="8"/>
    <w:qFormat/>
    <w:uiPriority w:val="99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99"/>
    <w:rPr>
      <w:sz w:val="18"/>
      <w:szCs w:val="18"/>
    </w:rPr>
  </w:style>
  <w:style w:type="character" w:customStyle="1" w:styleId="21">
    <w:name w:val="批注框文本 Char"/>
    <w:basedOn w:val="14"/>
    <w:link w:val="6"/>
    <w:semiHidden/>
    <w:qFormat/>
    <w:uiPriority w:val="99"/>
    <w:rPr>
      <w:sz w:val="18"/>
      <w:szCs w:val="18"/>
    </w:rPr>
  </w:style>
  <w:style w:type="paragraph" w:customStyle="1" w:styleId="22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3">
    <w:name w:val="标题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4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5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26">
    <w:name w:val="闻政正文 Char"/>
    <w:link w:val="27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7">
    <w:name w:val="闻政正文"/>
    <w:basedOn w:val="1"/>
    <w:link w:val="26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8">
    <w:name w:val="闻政表 Char"/>
    <w:link w:val="29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闻政表"/>
    <w:basedOn w:val="1"/>
    <w:link w:val="28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3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1">
    <w:name w:val="闻政标题3 Char"/>
    <w:link w:val="32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2">
    <w:name w:val="闻政标题3"/>
    <w:basedOn w:val="4"/>
    <w:link w:val="31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3">
    <w:name w:val="标题 3 Char"/>
    <w:basedOn w:val="14"/>
    <w:link w:val="4"/>
    <w:semiHidden/>
    <w:qFormat/>
    <w:uiPriority w:val="9"/>
    <w:rPr>
      <w:b/>
      <w:bCs/>
      <w:sz w:val="32"/>
      <w:szCs w:val="32"/>
    </w:rPr>
  </w:style>
  <w:style w:type="paragraph" w:customStyle="1" w:styleId="34">
    <w:name w:val="Body text|1"/>
    <w:basedOn w:val="1"/>
    <w:link w:val="35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5">
    <w:name w:val="Body text|1_"/>
    <w:basedOn w:val="14"/>
    <w:link w:val="34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A73F4A-C0B4-41C3-BE74-7DBA9B7FB8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8</Pages>
  <Words>527</Words>
  <Characters>3005</Characters>
  <Lines>25</Lines>
  <Paragraphs>7</Paragraphs>
  <TotalTime>0</TotalTime>
  <ScaleCrop>false</ScaleCrop>
  <LinksUpToDate>false</LinksUpToDate>
  <CharactersWithSpaces>3525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Administrator</cp:lastModifiedBy>
  <cp:lastPrinted>2020-04-28T09:43:00Z</cp:lastPrinted>
  <dcterms:modified xsi:type="dcterms:W3CDTF">2020-09-05T04:11:06Z</dcterms:modified>
  <dc:title>新疆普天鹏华商务信息咨询有限公司</dc:title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