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新疆喀什地区农村数字电影服务管理中心2019年度部门决算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rPr>
          <w:rFonts w:ascii="仿宋_GB2312" w:eastAsia="仿宋_GB2312"/>
          <w:sz w:val="32"/>
          <w:szCs w:val="32"/>
        </w:rPr>
      </w:pPr>
      <w:r>
        <w:rPr>
          <w:rFonts w:hint="eastAsia" w:ascii="仿宋_GB2312" w:eastAsia="仿宋_GB2312"/>
          <w:sz w:val="32"/>
          <w:szCs w:val="32"/>
        </w:rPr>
        <w:t xml:space="preserve">    喀什地区农村数字电影服务管理中心是副县级公益一类事业单位,主要承担全地区农村数字电影放映工程的组织实施，为12县市开展农村数字电影放映提供影片节目订购、下载、授权，影片节目保管、放映统计，放映设备维修、维护,放映队伍培训等服务工作。</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hint="eastAsia" w:ascii="仿宋_GB2312" w:eastAsia="仿宋_GB2312"/>
          <w:sz w:val="32"/>
          <w:szCs w:val="32"/>
        </w:rPr>
        <w:t>新疆喀什地区农村数字电影服务管理中心2</w:t>
      </w:r>
      <w:r>
        <w:rPr>
          <w:rFonts w:ascii="仿宋_GB2312" w:eastAsia="仿宋_GB2312"/>
          <w:sz w:val="32"/>
          <w:szCs w:val="32"/>
        </w:rPr>
        <w:t>019</w:t>
      </w:r>
      <w:r>
        <w:rPr>
          <w:rFonts w:hint="eastAsia" w:ascii="仿宋_GB2312" w:eastAsia="仿宋_GB2312"/>
          <w:sz w:val="32"/>
          <w:szCs w:val="32"/>
        </w:rPr>
        <w:t>年度，实有人数27人，其中：在职人员18人，离休人员0人，退休人员9人。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从部门决算单位构成看，新疆喀什地区农村数字电影服务管理中心部门决算包括：新疆喀什地区农村数字电影服务管理中心决算。</w:t>
      </w:r>
    </w:p>
    <w:p>
      <w:pPr>
        <w:ind w:firstLine="640" w:firstLineChars="200"/>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hint="eastAsia" w:ascii="仿宋_GB2312" w:eastAsia="仿宋_GB2312"/>
          <w:sz w:val="32"/>
          <w:szCs w:val="32"/>
        </w:rPr>
        <w:t>2019年度本年收入309.36万元，与上年相比，减少13.44万元，下降4.16%，主要原因是：</w:t>
      </w:r>
      <w:r>
        <w:rPr>
          <w:rFonts w:hint="eastAsia" w:ascii="仿宋_GB2312" w:eastAsia="仿宋_GB2312"/>
          <w:color w:val="000000" w:themeColor="text1"/>
          <w:sz w:val="32"/>
          <w:szCs w:val="32"/>
          <w14:textFill>
            <w14:solidFill>
              <w14:schemeClr w14:val="tx1"/>
            </w14:solidFill>
          </w14:textFill>
        </w:rPr>
        <w:t>减少在职1人工资等相应收入，减少在职转退休1人工资等相应收入。</w:t>
      </w:r>
      <w:r>
        <w:rPr>
          <w:rFonts w:hint="eastAsia" w:ascii="仿宋_GB2312" w:eastAsia="仿宋_GB2312"/>
          <w:sz w:val="32"/>
          <w:szCs w:val="32"/>
        </w:rPr>
        <w:t>本年支出309.36万元，与上年相比，减少22.13万元，下降6.68%，主要原因是：</w:t>
      </w:r>
      <w:r>
        <w:rPr>
          <w:rFonts w:hint="eastAsia" w:ascii="仿宋_GB2312" w:eastAsia="仿宋_GB2312"/>
          <w:color w:val="000000" w:themeColor="text1"/>
          <w:sz w:val="32"/>
          <w:szCs w:val="32"/>
          <w14:textFill>
            <w14:solidFill>
              <w14:schemeClr w14:val="tx1"/>
            </w14:solidFill>
          </w14:textFill>
        </w:rPr>
        <w:t>减少在职1人工资等相应支出，减少在职转退休1人工资等相应支出。</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年度本年收入309.36万元，其中：财政拨款收入309.36万元，占100%；上级补助收入0万元，占0%；事业收入0万元，占0%；经营收入0万元，占0%；附属单位上缴收入0万元，占0%；其他收入0万元，占0%。</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hint="eastAsia" w:ascii="仿宋_GB2312" w:eastAsia="仿宋_GB2312"/>
          <w:sz w:val="32"/>
          <w:szCs w:val="32"/>
        </w:rPr>
        <w:t>2019年度本年支出309.36万元，其中：基本支出270.30万元，占87.37%；项目支出39.05万元，占12.62%；上缴上级支出0万元，占0%；经营支出0万元，占0%；对附属单位补助支出0万元，占0%。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2019年度财政拨款收入309.36万元，与上年相比，减少13.44万元，下降4.16%，主要原因是：减少在职1人工资等相应收入，减少在职转退休1人工资等相应收入。财政拨款支出309.36万元，与上年相比，减少22.13万元，下降6.68%，主要原因是：</w:t>
      </w:r>
      <w:r>
        <w:rPr>
          <w:rFonts w:ascii="仿宋_GB2312" w:eastAsia="仿宋_GB2312"/>
          <w:sz w:val="32"/>
          <w:szCs w:val="32"/>
        </w:rPr>
        <w:t>减少在职1人工资等相应支出，减少在职转退休1人工资等相应支出。</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color w:val="000000" w:themeColor="text1"/>
          <w:sz w:val="32"/>
          <w:szCs w:val="32"/>
          <w14:textFill>
            <w14:solidFill>
              <w14:schemeClr w14:val="tx1"/>
            </w14:solidFill>
          </w14:textFill>
        </w:rPr>
        <w:t>302.57</w:t>
      </w:r>
      <w:r>
        <w:rPr>
          <w:rFonts w:hint="eastAsia" w:ascii="仿宋_GB2312" w:eastAsia="仿宋_GB2312"/>
          <w:sz w:val="32"/>
          <w:szCs w:val="32"/>
        </w:rPr>
        <w:t>万元，决算数309.36万元</w:t>
      </w:r>
      <w:r>
        <w:rPr>
          <w:rFonts w:ascii="仿宋_GB2312" w:eastAsia="仿宋_GB2312"/>
          <w:color w:val="000000" w:themeColor="text1"/>
          <w:sz w:val="32"/>
          <w:szCs w:val="32"/>
          <w14:textFill>
            <w14:solidFill>
              <w14:schemeClr w14:val="tx1"/>
            </w14:solidFill>
          </w14:textFill>
        </w:rPr>
        <w:t>，预决算差异率2.24%，主要原因是：在职人员18人正常晋升增资，退休1人死亡抚恤金追加。</w:t>
      </w:r>
      <w:r>
        <w:rPr>
          <w:rFonts w:hint="eastAsia" w:ascii="仿宋_GB2312" w:eastAsia="仿宋_GB2312"/>
          <w:sz w:val="32"/>
          <w:szCs w:val="32"/>
        </w:rPr>
        <w:t>财政拨款支出年初预算数</w:t>
      </w:r>
      <w:r>
        <w:rPr>
          <w:rFonts w:ascii="仿宋_GB2312" w:eastAsia="仿宋_GB2312"/>
          <w:color w:val="000000" w:themeColor="text1"/>
          <w:sz w:val="32"/>
          <w:szCs w:val="32"/>
          <w14:textFill>
            <w14:solidFill>
              <w14:schemeClr w14:val="tx1"/>
            </w14:solidFill>
          </w14:textFill>
        </w:rPr>
        <w:t>302.57</w:t>
      </w:r>
      <w:r>
        <w:rPr>
          <w:rFonts w:hint="eastAsia" w:ascii="仿宋_GB2312" w:eastAsia="仿宋_GB2312"/>
          <w:sz w:val="32"/>
          <w:szCs w:val="32"/>
        </w:rPr>
        <w:t>万元，决算数309.36万元</w:t>
      </w:r>
      <w:r>
        <w:rPr>
          <w:rFonts w:ascii="仿宋_GB2312" w:eastAsia="仿宋_GB2312"/>
          <w:color w:val="000000" w:themeColor="text1"/>
          <w:sz w:val="32"/>
          <w:szCs w:val="32"/>
          <w14:textFill>
            <w14:solidFill>
              <w14:schemeClr w14:val="tx1"/>
            </w14:solidFill>
          </w14:textFill>
        </w:rPr>
        <w:t>，预决算差异率2.24%，主要原因是：在职人员18人正常晋升增资，公积金及各类社会保障缴费基数调增；发放退休人员1人死亡抚恤金。</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年度一般公共预算财政拨款支出309.36万元。按功能分类科目项级科目公开，其中：</w:t>
      </w:r>
    </w:p>
    <w:p>
      <w:pPr>
        <w:rPr>
          <w:rFonts w:ascii="仿宋_GB2312" w:eastAsia="仿宋_GB2312"/>
          <w:sz w:val="32"/>
          <w:szCs w:val="32"/>
        </w:rPr>
      </w:pPr>
      <w:r>
        <w:rPr>
          <w:rFonts w:ascii="仿宋_GB2312" w:eastAsia="仿宋_GB2312"/>
          <w:sz w:val="32"/>
          <w:szCs w:val="32"/>
        </w:rPr>
        <w:t xml:space="preserve">   2070607电影支出234.43万元；</w:t>
      </w:r>
      <w:r>
        <w:rPr>
          <w:rFonts w:ascii="仿宋_GB2312" w:eastAsia="仿宋_GB2312"/>
          <w:sz w:val="32"/>
          <w:szCs w:val="32"/>
        </w:rPr>
        <w:br w:type="textWrapping"/>
      </w:r>
      <w:r>
        <w:rPr>
          <w:rFonts w:ascii="仿宋_GB2312" w:eastAsia="仿宋_GB2312"/>
          <w:sz w:val="32"/>
          <w:szCs w:val="32"/>
        </w:rPr>
        <w:t xml:space="preserve">   2079999其他文化体育与传媒支出32.05万元；</w:t>
      </w:r>
      <w:r>
        <w:rPr>
          <w:rFonts w:ascii="仿宋_GB2312" w:eastAsia="仿宋_GB2312"/>
          <w:sz w:val="32"/>
          <w:szCs w:val="32"/>
        </w:rPr>
        <w:br w:type="textWrapping"/>
      </w:r>
      <w:r>
        <w:rPr>
          <w:rFonts w:ascii="仿宋_GB2312" w:eastAsia="仿宋_GB2312"/>
          <w:sz w:val="32"/>
          <w:szCs w:val="32"/>
        </w:rPr>
        <w:t xml:space="preserve">   2080505机关事业单位基本养老保险缴费支出20.21万元；</w:t>
      </w:r>
      <w:r>
        <w:rPr>
          <w:rFonts w:ascii="仿宋_GB2312" w:eastAsia="仿宋_GB2312"/>
          <w:sz w:val="32"/>
          <w:szCs w:val="32"/>
        </w:rPr>
        <w:br w:type="textWrapping"/>
      </w:r>
      <w:r>
        <w:rPr>
          <w:rFonts w:ascii="仿宋_GB2312" w:eastAsia="仿宋_GB2312"/>
          <w:sz w:val="32"/>
          <w:szCs w:val="32"/>
        </w:rPr>
        <w:t xml:space="preserve">   2210201住房公积金支出15.66万元；</w:t>
      </w:r>
      <w:r>
        <w:rPr>
          <w:rFonts w:ascii="仿宋_GB2312" w:eastAsia="仿宋_GB2312"/>
          <w:sz w:val="32"/>
          <w:szCs w:val="32"/>
        </w:rPr>
        <w:br w:type="textWrapping"/>
      </w:r>
      <w:r>
        <w:rPr>
          <w:rFonts w:ascii="仿宋_GB2312" w:eastAsia="仿宋_GB2312"/>
          <w:sz w:val="32"/>
          <w:szCs w:val="32"/>
        </w:rPr>
        <w:t xml:space="preserve">   2299901其他支出7万元。</w:t>
      </w:r>
    </w:p>
    <w:p>
      <w:pPr>
        <w:ind w:firstLine="640" w:firstLineChars="200"/>
        <w:outlineLvl w:val="1"/>
        <w:rPr>
          <w:rFonts w:ascii="黑体" w:hAnsi="黑体" w:eastAsia="黑体" w:cs="宋体"/>
          <w:bCs/>
          <w:kern w:val="0"/>
          <w:sz w:val="32"/>
          <w:szCs w:val="32"/>
        </w:rPr>
      </w:pPr>
      <w:bookmarkStart w:id="18" w:name="_Toc11146"/>
      <w:bookmarkStart w:id="19" w:name="_Toc30870"/>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年度一般公共预算财政拨款基本支出270.30万元，其中：</w:t>
      </w:r>
    </w:p>
    <w:p>
      <w:pPr>
        <w:ind w:firstLine="640" w:firstLineChars="200"/>
        <w:rPr>
          <w:rFonts w:ascii="仿宋_GB2312" w:eastAsia="仿宋_GB2312"/>
          <w:sz w:val="32"/>
          <w:szCs w:val="32"/>
        </w:rPr>
      </w:pPr>
      <w:r>
        <w:rPr>
          <w:rFonts w:hint="eastAsia" w:ascii="仿宋_GB2312" w:eastAsia="仿宋_GB2312"/>
          <w:sz w:val="32"/>
          <w:szCs w:val="32"/>
        </w:rPr>
        <w:t>人员经费260.07万元，包括：基本工资、津贴补贴、奖金、绩效工资、机关事业单位基本养老保险缴费、职业年金缴费、职工基本医疗保险缴费、其他社会保障缴费、住房公积金、其他工资福利支出、退休费、抚恤金、生活补助、奖励金、其他对个人和家庭的补助。</w:t>
      </w:r>
    </w:p>
    <w:p>
      <w:pPr>
        <w:ind w:firstLine="640" w:firstLineChars="200"/>
        <w:rPr>
          <w:rFonts w:ascii="仿宋_GB2312" w:eastAsia="仿宋_GB2312"/>
          <w:sz w:val="32"/>
          <w:szCs w:val="32"/>
        </w:rPr>
      </w:pPr>
      <w:r>
        <w:rPr>
          <w:rFonts w:hint="eastAsia" w:ascii="仿宋_GB2312" w:eastAsia="仿宋_GB2312"/>
          <w:sz w:val="32"/>
          <w:szCs w:val="32"/>
        </w:rPr>
        <w:t>公用经费10.23万元，包括：办公费、电费、取暖费、差旅费、公务用车运行维护费、其他交通费用、其他商品和服务支出。</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三公”经费支出决算2.60万元，比上年增加0万元，增长0%，主要原因是按要求严格控制三公经费开支，与上年相比无变化，与上年一致。其中，因公出国（境）费支出0万元，占0%，比上年增加0万元，增长0%，主要原因是与上年相比无变化，与上年一致；公务用车购置及运行维护费支出2.60万元，占100%，比上年增加0万元，增长0%，主要原因是按要求严格控制三公经费开支，合理使用公务用车，与上年相比无变化，与上年一致；公务接待费支出0万元，占0%，比上年增加0万元，增长0%，主要原因是与上年相比无变化，与上年一致。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因公出国（境）费支出0万元，开支内容包括：</w:t>
      </w:r>
      <w:r>
        <w:rPr>
          <w:rFonts w:ascii="仿宋_GB2312" w:eastAsia="仿宋_GB2312"/>
          <w:color w:val="000000" w:themeColor="text1"/>
          <w:sz w:val="32"/>
          <w:szCs w:val="32"/>
          <w14:textFill>
            <w14:solidFill>
              <w14:schemeClr w14:val="tx1"/>
            </w14:solidFill>
          </w14:textFill>
        </w:rPr>
        <w:t>预算未安排，无此项支出。</w:t>
      </w:r>
      <w:r>
        <w:rPr>
          <w:rFonts w:hint="eastAsia" w:ascii="仿宋_GB2312" w:eastAsia="仿宋_GB2312"/>
          <w:sz w:val="32"/>
          <w:szCs w:val="32"/>
        </w:rPr>
        <w:t>单位全年安排的因公出国（境）团组0个，因公出国（境）0人次。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2.60万元，其中，公务用车购置费0万元，公务用车运行维护费2.60万元。公务用车运行维护费开支内容包括车辆燃油、车辆维修保养、车辆保险等。公务用车购置数0辆，公务用车保有量2辆。</w:t>
      </w:r>
    </w:p>
    <w:p>
      <w:pPr>
        <w:ind w:firstLine="640" w:firstLineChars="200"/>
        <w:rPr>
          <w:rFonts w:ascii="仿宋_GB2312" w:eastAsia="仿宋_GB2312"/>
          <w:sz w:val="32"/>
          <w:szCs w:val="32"/>
        </w:rPr>
      </w:pPr>
      <w:r>
        <w:rPr>
          <w:rFonts w:hint="eastAsia" w:ascii="仿宋_GB2312" w:eastAsia="仿宋_GB2312"/>
          <w:sz w:val="32"/>
          <w:szCs w:val="32"/>
        </w:rPr>
        <w:t>公务接待费0万元，开支内容包括预算未安排，无此项支出。单位全年安排的国内公务接待0批次，0人次。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w:t>
      </w:r>
      <w:r>
        <w:rPr>
          <w:rFonts w:ascii="仿宋_GB2312" w:eastAsia="仿宋_GB2312"/>
          <w:color w:val="000000" w:themeColor="text1"/>
          <w:sz w:val="32"/>
          <w:szCs w:val="32"/>
          <w14:textFill>
            <w14:solidFill>
              <w14:schemeClr w14:val="tx1"/>
            </w14:solidFill>
          </w14:textFill>
        </w:rPr>
        <w:t>2.60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2.60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，预决算差异率0%，主要原因是：按要求严格控制三公经费开支，合理使用三公经费</w:t>
      </w:r>
      <w:r>
        <w:rPr>
          <w:rFonts w:hint="eastAsia" w:ascii="仿宋_GB2312" w:eastAsia="仿宋_GB2312"/>
          <w:color w:val="000000" w:themeColor="text1"/>
          <w:sz w:val="32"/>
          <w:szCs w:val="32"/>
          <w:lang w:val="en-US" w:eastAsia="zh-CN"/>
          <w14:textFill>
            <w14:solidFill>
              <w14:schemeClr w14:val="tx1"/>
            </w14:solidFill>
          </w14:textFill>
        </w:rPr>
        <w:t>,与年初预算无差异</w:t>
      </w:r>
      <w:r>
        <w:rPr>
          <w:rFonts w:ascii="仿宋_GB2312" w:eastAsia="仿宋_GB2312"/>
          <w:color w:val="000000" w:themeColor="text1"/>
          <w:sz w:val="32"/>
          <w:szCs w:val="32"/>
          <w14:textFill>
            <w14:solidFill>
              <w14:schemeClr w14:val="tx1"/>
            </w14:solidFill>
          </w14:textFill>
        </w:rPr>
        <w:t>。</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2.60</w:t>
      </w:r>
      <w:r>
        <w:rPr>
          <w:rFonts w:hint="eastAsia" w:ascii="仿宋_GB2312" w:eastAsia="仿宋_GB2312"/>
          <w:sz w:val="32"/>
          <w:szCs w:val="32"/>
        </w:rPr>
        <w:t>万元，决算数</w:t>
      </w:r>
      <w:r>
        <w:rPr>
          <w:rFonts w:ascii="仿宋_GB2312" w:eastAsia="仿宋_GB2312"/>
          <w:color w:val="000000" w:themeColor="text1"/>
          <w:sz w:val="32"/>
          <w:szCs w:val="32"/>
          <w14:textFill>
            <w14:solidFill>
              <w14:schemeClr w14:val="tx1"/>
            </w14:solidFill>
          </w14:textFill>
        </w:rPr>
        <w:t>2.60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，预决算差异率0%，主要原因是：按要求严格控制三公经费开支，合理使用公务用车</w:t>
      </w:r>
      <w:r>
        <w:rPr>
          <w:rFonts w:hint="eastAsia" w:ascii="仿宋_GB2312" w:eastAsia="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与年初预算无差异</w:t>
      </w:r>
      <w:r>
        <w:rPr>
          <w:rFonts w:ascii="仿宋_GB2312" w:eastAsia="仿宋_GB2312"/>
          <w:color w:val="000000" w:themeColor="text1"/>
          <w:sz w:val="32"/>
          <w:szCs w:val="32"/>
          <w14:textFill>
            <w14:solidFill>
              <w14:schemeClr w14:val="tx1"/>
            </w14:solidFill>
          </w14:textFill>
        </w:rPr>
        <w:t>；</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bookmarkStart w:id="24" w:name="_Toc1235"/>
      <w:bookmarkStart w:id="25" w:name="_Toc7314"/>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4519"/>
      <w:bookmarkStart w:id="27" w:name="_Toc13105"/>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hint="eastAsia" w:ascii="仿宋_GB2312" w:eastAsia="仿宋_GB2312"/>
          <w:color w:val="000000" w:themeColor="text1"/>
          <w:sz w:val="32"/>
          <w:szCs w:val="32"/>
          <w14:textFill>
            <w14:solidFill>
              <w14:schemeClr w14:val="tx1"/>
            </w14:solidFill>
          </w14:textFill>
        </w:rPr>
        <w:t>新疆喀什地区农村数字电影服务管理中心日常公用经费10.23万元，比上年增加2.21万元，增长27.56%，主要原因是增加了专项活动经费。</w:t>
      </w:r>
    </w:p>
    <w:p>
      <w:pPr>
        <w:ind w:firstLine="640" w:firstLineChars="200"/>
        <w:outlineLvl w:val="2"/>
        <w:rPr>
          <w:rFonts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年度政府采购支出总额8.30万元，其中：政府采购货物支出7.35万元、政府采购工程支出0万元、政府采购服务支出0.95万元。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授予中小企业合同金额8.30万元，占政府采购支出总额的100%，其中：授予小微企业合同金额0万元，占政府采购支出总额的0%。</w:t>
      </w:r>
    </w:p>
    <w:p>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w:t>
      </w:r>
      <w:r>
        <w:rPr>
          <w:rFonts w:ascii="仿宋_GB2312" w:eastAsia="仿宋_GB2312"/>
          <w:sz w:val="32"/>
          <w:szCs w:val="32"/>
        </w:rPr>
        <w:t>2019</w:t>
      </w:r>
      <w:r>
        <w:rPr>
          <w:rFonts w:hint="eastAsia" w:ascii="仿宋_GB2312" w:eastAsia="仿宋_GB2312"/>
          <w:sz w:val="32"/>
          <w:szCs w:val="32"/>
        </w:rPr>
        <w:t>年12月31日，单位共有房屋0（平方米），价值0万元。车辆2辆，价值38.83万元，其中：副部（省）级及以上领导用车0辆、主要领导干部用车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辆、机要通信用车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辆、应急保障用车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辆、执法执勤用车0辆、特种专业技术用车0辆、离退休干部用车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辆、其他用车</w:t>
      </w:r>
      <w:r>
        <w:rPr>
          <w:rFonts w:ascii="仿宋_GB2312" w:eastAsia="仿宋_GB2312"/>
          <w:color w:val="000000" w:themeColor="text1"/>
          <w:sz w:val="32"/>
          <w:szCs w:val="32"/>
          <w14:textFill>
            <w14:solidFill>
              <w14:schemeClr w14:val="tx1"/>
            </w14:solidFill>
          </w14:textFill>
        </w:rPr>
        <w:t>2</w:t>
      </w:r>
      <w:r>
        <w:rPr>
          <w:rFonts w:hint="eastAsia" w:ascii="仿宋_GB2312" w:eastAsia="仿宋_GB2312"/>
          <w:sz w:val="32"/>
          <w:szCs w:val="32"/>
        </w:rPr>
        <w:t>辆，其他用车主要是：</w:t>
      </w:r>
      <w:r>
        <w:rPr>
          <w:rFonts w:ascii="仿宋_GB2312" w:eastAsia="仿宋_GB2312"/>
          <w:color w:val="000000" w:themeColor="text1"/>
          <w:sz w:val="32"/>
          <w:szCs w:val="32"/>
          <w14:textFill>
            <w14:solidFill>
              <w14:schemeClr w14:val="tx1"/>
            </w14:solidFill>
          </w14:textFill>
        </w:rPr>
        <w:t>单位一般公务用车；</w:t>
      </w:r>
      <w:r>
        <w:rPr>
          <w:rFonts w:hint="eastAsia" w:ascii="仿宋_GB2312" w:eastAsia="仿宋_GB2312"/>
          <w:sz w:val="32"/>
          <w:szCs w:val="32"/>
        </w:rPr>
        <w:t>单位价值50万元以上通用设备0台（套）、单位价值100万元以上专用设备0台（套）。</w:t>
      </w:r>
    </w:p>
    <w:p>
      <w:pPr>
        <w:ind w:firstLine="640" w:firstLineChars="200"/>
        <w:outlineLvl w:val="1"/>
        <w:rPr>
          <w:rFonts w:ascii="黑体" w:hAnsi="黑体" w:eastAsia="黑体" w:cs="宋体"/>
          <w:bCs/>
          <w:kern w:val="0"/>
          <w:sz w:val="32"/>
          <w:szCs w:val="32"/>
        </w:rPr>
      </w:pPr>
      <w:bookmarkStart w:id="32" w:name="_Toc11283"/>
      <w:bookmarkStart w:id="33" w:name="_Toc435"/>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根据预算绩效管理要求，我单位2019年度开展预算绩效评价项目3个，共涉及资金39.05万元。预算绩效管理取得的成效：一是经济性评价：部门年度任务是在预算资金额度内完成，并通过规范的政彩云招投标</w:t>
      </w:r>
      <w:r>
        <w:rPr>
          <w:rFonts w:hint="eastAsia" w:ascii="仿宋_GB2312" w:eastAsia="仿宋_GB2312"/>
          <w:sz w:val="32"/>
          <w:szCs w:val="32"/>
          <w:lang w:eastAsia="zh-CN"/>
        </w:rPr>
        <w:t>，</w:t>
      </w:r>
      <w:r>
        <w:rPr>
          <w:rFonts w:hint="eastAsia" w:ascii="仿宋_GB2312" w:eastAsia="仿宋_GB2312"/>
          <w:sz w:val="32"/>
          <w:szCs w:val="32"/>
        </w:rPr>
        <w:t>严格的资金管理</w:t>
      </w:r>
      <w:r>
        <w:rPr>
          <w:rFonts w:hint="eastAsia" w:ascii="仿宋_GB2312" w:eastAsia="仿宋_GB2312"/>
          <w:sz w:val="32"/>
          <w:szCs w:val="32"/>
          <w:lang w:eastAsia="zh-CN"/>
        </w:rPr>
        <w:t>、</w:t>
      </w:r>
      <w:r>
        <w:rPr>
          <w:rFonts w:hint="eastAsia" w:ascii="仿宋_GB2312" w:eastAsia="仿宋_GB2312"/>
          <w:sz w:val="32"/>
          <w:szCs w:val="32"/>
        </w:rPr>
        <w:t>项目管理及其他创新的管理措施实现了资金的节约。三公经费是在预算范围内开支，开支范围较上年无变化。二是效益性评价：各项工作计划是预期计划按时完成，效益是按预期时间产生。三是预期的经济效益、社会效益、可持续的影响产生，相关人员的满意度达到95%。发现的问题及原因：一是通过预算绩效管理，发现了工作中存在的不足，如前期资金预算资金额过大，使用因未及时办理相关手续的原因未按期支付，导致了资金滞缓，影响了项目的进度。预算编制与实际支出项目仍存在细微差异。二是预算评价意识有待更进一步提高，缺乏完善的评价体系，同时预算评价的目标、工作的科学性、合理性有待进一步加强。下一步改进措施：一是年初做好资金计划，按照项目进度及时拨付资金，使资金使用效益最大化，减少不必要的浪费，节约成本。二是进一步提高预算评价意识，不断完善的评价体系，同时加强预算评价的目标、 工作的科学性、合理性。具体项目自评情况附项目支出绩效自评表。</w:t>
      </w:r>
      <w:bookmarkStart w:id="54" w:name="_GoBack"/>
      <w:bookmarkEnd w:id="54"/>
    </w:p>
    <w:p>
      <w:pPr>
        <w:ind w:firstLine="640" w:firstLineChars="200"/>
        <w:jc w:val="center"/>
        <w:outlineLvl w:val="0"/>
        <w:rPr>
          <w:rFonts w:ascii="黑体" w:hAnsi="黑体" w:eastAsia="黑体"/>
          <w:sz w:val="32"/>
          <w:szCs w:val="32"/>
        </w:rPr>
      </w:pPr>
      <w:bookmarkStart w:id="34" w:name="_Toc3250"/>
      <w:bookmarkStart w:id="35" w:name="_Toc24143"/>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2784"/>
      <w:bookmarkStart w:id="37" w:name="_Toc28903"/>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2183"/>
      <w:bookmarkStart w:id="39" w:name="_Toc6062"/>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24532"/>
      <w:bookmarkStart w:id="41" w:name="_Toc30364"/>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32434"/>
      <w:bookmarkStart w:id="43" w:name="_Toc2130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28786"/>
      <w:bookmarkStart w:id="45" w:name="_Toc14238"/>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0347"/>
      <w:bookmarkStart w:id="47" w:name="_Toc14869"/>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5626"/>
      <w:bookmarkStart w:id="49" w:name="_Toc8884"/>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Lucida Sans Unicode">
    <w:panose1 w:val="020B0602030504020204"/>
    <w:charset w:val="00"/>
    <w:family w:val="auto"/>
    <w:pitch w:val="default"/>
    <w:sig w:usb0="80001AFF" w:usb1="0000396B" w:usb2="00000000" w:usb3="00000000" w:csb0="0000003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AencV45wEAALYD&#10;AAAOAAAAAAAAAAEAIAAAAB4BAABkcnMvZTJvRG9jLnhtbFBLBQYAAAAABgAGAFkBAAB3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bordersDoNotSurroundHeader w:val="1"/>
  <w:bordersDoNotSurroundFooter w:val="1"/>
  <w:documentProtection w:edit="comments" w:enforcement="1" w:cryptProviderType="rsaFull" w:cryptAlgorithmClass="hash" w:cryptAlgorithmType="typeAny" w:cryptAlgorithmSid="4" w:cryptSpinCount="0" w:hash="7Zdie1RwRz3LvqgMD1ZgL87b7GE=" w:salt="5awVR3AQSHW2nI6vWE7vew=="/>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E66"/>
    <w:rsid w:val="000033EF"/>
    <w:rsid w:val="00004533"/>
    <w:rsid w:val="00005A21"/>
    <w:rsid w:val="0004063C"/>
    <w:rsid w:val="000701A7"/>
    <w:rsid w:val="00082456"/>
    <w:rsid w:val="000A663A"/>
    <w:rsid w:val="000B57B8"/>
    <w:rsid w:val="000F01B7"/>
    <w:rsid w:val="000F6705"/>
    <w:rsid w:val="001128A8"/>
    <w:rsid w:val="001130AE"/>
    <w:rsid w:val="001237CF"/>
    <w:rsid w:val="00125A6F"/>
    <w:rsid w:val="0014029C"/>
    <w:rsid w:val="00146FA3"/>
    <w:rsid w:val="00162E66"/>
    <w:rsid w:val="001826D1"/>
    <w:rsid w:val="001848EE"/>
    <w:rsid w:val="00186B3B"/>
    <w:rsid w:val="001C2D35"/>
    <w:rsid w:val="001C5BE8"/>
    <w:rsid w:val="001C6E66"/>
    <w:rsid w:val="001D3634"/>
    <w:rsid w:val="001D37EF"/>
    <w:rsid w:val="001E4D79"/>
    <w:rsid w:val="001F777A"/>
    <w:rsid w:val="002122DE"/>
    <w:rsid w:val="00227229"/>
    <w:rsid w:val="002328AF"/>
    <w:rsid w:val="00233021"/>
    <w:rsid w:val="0024217C"/>
    <w:rsid w:val="00243E6C"/>
    <w:rsid w:val="00265F92"/>
    <w:rsid w:val="00272845"/>
    <w:rsid w:val="0029171A"/>
    <w:rsid w:val="00292B7F"/>
    <w:rsid w:val="002B072F"/>
    <w:rsid w:val="002B37DA"/>
    <w:rsid w:val="002B7A04"/>
    <w:rsid w:val="002D187F"/>
    <w:rsid w:val="002F1732"/>
    <w:rsid w:val="00327986"/>
    <w:rsid w:val="003314E6"/>
    <w:rsid w:val="00340AE7"/>
    <w:rsid w:val="00354737"/>
    <w:rsid w:val="0037159F"/>
    <w:rsid w:val="00377EC6"/>
    <w:rsid w:val="003920B8"/>
    <w:rsid w:val="003A44F0"/>
    <w:rsid w:val="003C3EF4"/>
    <w:rsid w:val="003D1DD1"/>
    <w:rsid w:val="003E5F70"/>
    <w:rsid w:val="00400D8F"/>
    <w:rsid w:val="00430E56"/>
    <w:rsid w:val="004318F5"/>
    <w:rsid w:val="00456820"/>
    <w:rsid w:val="00471387"/>
    <w:rsid w:val="00471BBD"/>
    <w:rsid w:val="0047268F"/>
    <w:rsid w:val="004A41CF"/>
    <w:rsid w:val="004A44C9"/>
    <w:rsid w:val="004B2E7F"/>
    <w:rsid w:val="004D35C0"/>
    <w:rsid w:val="004E519F"/>
    <w:rsid w:val="004F1D2D"/>
    <w:rsid w:val="00531503"/>
    <w:rsid w:val="00534ECA"/>
    <w:rsid w:val="005358C2"/>
    <w:rsid w:val="005474EB"/>
    <w:rsid w:val="005506DD"/>
    <w:rsid w:val="005529D0"/>
    <w:rsid w:val="00553FB5"/>
    <w:rsid w:val="00554A58"/>
    <w:rsid w:val="00560394"/>
    <w:rsid w:val="0056525F"/>
    <w:rsid w:val="005B1DE6"/>
    <w:rsid w:val="005C11EB"/>
    <w:rsid w:val="006032AE"/>
    <w:rsid w:val="0068591E"/>
    <w:rsid w:val="00690F22"/>
    <w:rsid w:val="00693012"/>
    <w:rsid w:val="006B0B73"/>
    <w:rsid w:val="006D2B94"/>
    <w:rsid w:val="006E0721"/>
    <w:rsid w:val="0070295D"/>
    <w:rsid w:val="00725755"/>
    <w:rsid w:val="0075023C"/>
    <w:rsid w:val="00750D8A"/>
    <w:rsid w:val="00764051"/>
    <w:rsid w:val="00772611"/>
    <w:rsid w:val="007741F8"/>
    <w:rsid w:val="007B0022"/>
    <w:rsid w:val="007E2E4F"/>
    <w:rsid w:val="007E3BFD"/>
    <w:rsid w:val="00807B4B"/>
    <w:rsid w:val="008144CF"/>
    <w:rsid w:val="00827663"/>
    <w:rsid w:val="00847CE1"/>
    <w:rsid w:val="00852D88"/>
    <w:rsid w:val="00857132"/>
    <w:rsid w:val="00862395"/>
    <w:rsid w:val="008853A8"/>
    <w:rsid w:val="00887778"/>
    <w:rsid w:val="008D5B57"/>
    <w:rsid w:val="008F7D99"/>
    <w:rsid w:val="00922FA7"/>
    <w:rsid w:val="00927301"/>
    <w:rsid w:val="009351E1"/>
    <w:rsid w:val="0094423A"/>
    <w:rsid w:val="00963E2E"/>
    <w:rsid w:val="009774AD"/>
    <w:rsid w:val="00980F6F"/>
    <w:rsid w:val="009A173F"/>
    <w:rsid w:val="009C479E"/>
    <w:rsid w:val="009F4245"/>
    <w:rsid w:val="009F594D"/>
    <w:rsid w:val="00A009B3"/>
    <w:rsid w:val="00A239E7"/>
    <w:rsid w:val="00A34EDA"/>
    <w:rsid w:val="00AA13D0"/>
    <w:rsid w:val="00AC0B18"/>
    <w:rsid w:val="00AC1D87"/>
    <w:rsid w:val="00AE136F"/>
    <w:rsid w:val="00AE6C82"/>
    <w:rsid w:val="00AE7A56"/>
    <w:rsid w:val="00AF0871"/>
    <w:rsid w:val="00AF530E"/>
    <w:rsid w:val="00AF5DFE"/>
    <w:rsid w:val="00B006E5"/>
    <w:rsid w:val="00B13535"/>
    <w:rsid w:val="00B24234"/>
    <w:rsid w:val="00B3219F"/>
    <w:rsid w:val="00B51D57"/>
    <w:rsid w:val="00B64D13"/>
    <w:rsid w:val="00B76725"/>
    <w:rsid w:val="00BC38D2"/>
    <w:rsid w:val="00BC65E4"/>
    <w:rsid w:val="00BE0A9F"/>
    <w:rsid w:val="00C01003"/>
    <w:rsid w:val="00C87860"/>
    <w:rsid w:val="00C92609"/>
    <w:rsid w:val="00C974A0"/>
    <w:rsid w:val="00CA0969"/>
    <w:rsid w:val="00CB7A14"/>
    <w:rsid w:val="00CD1E0A"/>
    <w:rsid w:val="00CD44C9"/>
    <w:rsid w:val="00CE40E2"/>
    <w:rsid w:val="00CE4AEB"/>
    <w:rsid w:val="00CE74CB"/>
    <w:rsid w:val="00D00B68"/>
    <w:rsid w:val="00D04E19"/>
    <w:rsid w:val="00D6644C"/>
    <w:rsid w:val="00D71F68"/>
    <w:rsid w:val="00D767F4"/>
    <w:rsid w:val="00DA07A0"/>
    <w:rsid w:val="00DB6F81"/>
    <w:rsid w:val="00DC1313"/>
    <w:rsid w:val="00DD3B82"/>
    <w:rsid w:val="00E43F43"/>
    <w:rsid w:val="00EE3598"/>
    <w:rsid w:val="00EE791B"/>
    <w:rsid w:val="00F040C7"/>
    <w:rsid w:val="00F04DC0"/>
    <w:rsid w:val="00F24BA1"/>
    <w:rsid w:val="00F45607"/>
    <w:rsid w:val="00F552F7"/>
    <w:rsid w:val="00F57EE2"/>
    <w:rsid w:val="00F777E1"/>
    <w:rsid w:val="00F80266"/>
    <w:rsid w:val="00F83E19"/>
    <w:rsid w:val="00FB3828"/>
    <w:rsid w:val="00FC7A52"/>
    <w:rsid w:val="00FE0761"/>
    <w:rsid w:val="00FF5166"/>
    <w:rsid w:val="06792773"/>
    <w:rsid w:val="1DAF458D"/>
    <w:rsid w:val="2A053397"/>
    <w:rsid w:val="2D1136DF"/>
    <w:rsid w:val="31C63837"/>
    <w:rsid w:val="38D425C1"/>
    <w:rsid w:val="3D5275AC"/>
    <w:rsid w:val="46901EEE"/>
    <w:rsid w:val="469C74D2"/>
    <w:rsid w:val="50DB5F45"/>
    <w:rsid w:val="5E274D91"/>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uiPriority w:val="0"/>
  </w:style>
  <w:style w:type="paragraph" w:styleId="7">
    <w:name w:val="toc 2"/>
    <w:basedOn w:val="1"/>
    <w:next w:val="1"/>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1034</Words>
  <Characters>5894</Characters>
  <Lines>49</Lines>
  <Paragraphs>13</Paragraphs>
  <TotalTime>2</TotalTime>
  <ScaleCrop>false</ScaleCrop>
  <LinksUpToDate>false</LinksUpToDate>
  <CharactersWithSpaces>6915</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2020-07-16T02:47:00Z</dcterms:created>
  <dc:creator>GXR</dc:creator>
  <cp:lastModifiedBy>Administrator</cp:lastModifiedBy>
  <dcterms:modified xsi:type="dcterms:W3CDTF">2020-09-10T14:23:36Z</dcterms:modified>
  <cp:revision>150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