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D5F" w:rsidRDefault="00AB1304">
      <w:pPr>
        <w:rPr>
          <w:rFonts w:ascii="黑体" w:eastAsia="黑体" w:hAnsi="黑体"/>
          <w:sz w:val="32"/>
          <w:szCs w:val="32"/>
        </w:rPr>
      </w:pPr>
      <w:r>
        <w:rPr>
          <w:rFonts w:ascii="黑体" w:eastAsia="黑体" w:hAnsi="黑体" w:hint="eastAsia"/>
          <w:sz w:val="32"/>
          <w:szCs w:val="32"/>
        </w:rPr>
        <w:t>附件：</w:t>
      </w:r>
    </w:p>
    <w:p w:rsidR="007B6D5F" w:rsidRDefault="007B6D5F">
      <w:pPr>
        <w:jc w:val="center"/>
        <w:rPr>
          <w:rFonts w:ascii="方正小标宋_GBK" w:eastAsia="方正小标宋_GBK" w:hAnsi="宋体"/>
          <w:sz w:val="44"/>
          <w:szCs w:val="44"/>
        </w:rPr>
      </w:pPr>
    </w:p>
    <w:p w:rsidR="007B6D5F" w:rsidRDefault="007B6D5F">
      <w:pPr>
        <w:jc w:val="center"/>
        <w:rPr>
          <w:rFonts w:ascii="方正小标宋_GBK" w:eastAsia="方正小标宋_GBK" w:hAnsi="宋体"/>
          <w:sz w:val="44"/>
          <w:szCs w:val="44"/>
        </w:rPr>
      </w:pPr>
    </w:p>
    <w:p w:rsidR="007B6D5F" w:rsidRDefault="007B6D5F">
      <w:pPr>
        <w:jc w:val="center"/>
        <w:rPr>
          <w:rFonts w:ascii="方正小标宋_GBK" w:eastAsia="方正小标宋_GBK" w:hAnsi="宋体"/>
          <w:sz w:val="44"/>
          <w:szCs w:val="44"/>
        </w:rPr>
      </w:pPr>
    </w:p>
    <w:p w:rsidR="007B6D5F" w:rsidRDefault="007B6D5F">
      <w:pPr>
        <w:jc w:val="center"/>
        <w:rPr>
          <w:rFonts w:ascii="方正小标宋_GBK" w:eastAsia="方正小标宋_GBK" w:hAnsi="宋体"/>
          <w:sz w:val="44"/>
          <w:szCs w:val="44"/>
        </w:rPr>
      </w:pPr>
    </w:p>
    <w:p w:rsidR="007B6D5F" w:rsidRDefault="00AB1304">
      <w:pPr>
        <w:jc w:val="center"/>
        <w:rPr>
          <w:rFonts w:ascii="方正小标宋_GBK" w:eastAsia="方正小标宋_GBK" w:hAnsi="宋体"/>
          <w:sz w:val="44"/>
          <w:szCs w:val="44"/>
        </w:rPr>
      </w:pPr>
      <w:r>
        <w:rPr>
          <w:rFonts w:ascii="方正小标宋_GBK" w:eastAsia="方正小标宋_GBK" w:hAnsi="宋体" w:hint="eastAsia"/>
          <w:sz w:val="44"/>
          <w:szCs w:val="44"/>
        </w:rPr>
        <w:t>新疆喀什日报社2019年度部门决算</w:t>
      </w:r>
    </w:p>
    <w:p w:rsidR="007B6D5F" w:rsidRDefault="00AB1304">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7B6D5F" w:rsidRDefault="00AB1304">
      <w:pPr>
        <w:jc w:val="center"/>
        <w:rPr>
          <w:rFonts w:ascii="仿宋_GB2312" w:eastAsia="仿宋_GB2312" w:hAnsi="仿宋_GB2312" w:cs="仿宋_GB2312"/>
          <w:bCs/>
          <w:kern w:val="0"/>
          <w:sz w:val="32"/>
          <w:szCs w:val="32"/>
        </w:rPr>
      </w:pPr>
      <w:bookmarkStart w:id="0" w:name="_GoBack"/>
      <w:bookmarkEnd w:id="0"/>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rsidR="007B6D5F" w:rsidRDefault="00093090">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AB1304">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AB1304">
          <w:rPr>
            <w:rFonts w:ascii="仿宋_GB2312" w:eastAsia="仿宋_GB2312" w:hAnsi="仿宋_GB2312" w:cs="仿宋_GB2312" w:hint="eastAsia"/>
            <w:b/>
            <w:bCs/>
            <w:sz w:val="32"/>
            <w:szCs w:val="32"/>
          </w:rPr>
          <w:t>第一部分 部门单位概况</w:t>
        </w:r>
      </w:hyperlink>
    </w:p>
    <w:p w:rsidR="007B6D5F" w:rsidRDefault="00854CA2">
      <w:pPr>
        <w:pStyle w:val="2"/>
        <w:tabs>
          <w:tab w:val="right" w:pos="8306"/>
        </w:tabs>
        <w:ind w:leftChars="0" w:left="0"/>
        <w:rPr>
          <w:rFonts w:ascii="仿宋_GB2312" w:eastAsia="仿宋_GB2312" w:hAnsi="仿宋_GB2312" w:cs="仿宋_GB2312"/>
          <w:sz w:val="32"/>
          <w:szCs w:val="32"/>
        </w:rPr>
      </w:pPr>
      <w:hyperlink w:anchor="_Toc30567" w:history="1">
        <w:r w:rsidR="00AB1304">
          <w:rPr>
            <w:rFonts w:ascii="仿宋_GB2312" w:eastAsia="仿宋_GB2312" w:hAnsi="仿宋_GB2312" w:cs="仿宋_GB2312" w:hint="eastAsia"/>
            <w:bCs/>
            <w:kern w:val="0"/>
            <w:sz w:val="32"/>
            <w:szCs w:val="32"/>
          </w:rPr>
          <w:t>一、主要职能</w:t>
        </w:r>
      </w:hyperlink>
    </w:p>
    <w:p w:rsidR="007B6D5F" w:rsidRDefault="00854CA2">
      <w:pPr>
        <w:pStyle w:val="2"/>
        <w:tabs>
          <w:tab w:val="right" w:pos="8306"/>
        </w:tabs>
        <w:ind w:leftChars="0" w:left="0"/>
        <w:rPr>
          <w:rFonts w:ascii="仿宋_GB2312" w:eastAsia="仿宋_GB2312" w:hAnsi="仿宋_GB2312" w:cs="仿宋_GB2312"/>
          <w:sz w:val="32"/>
          <w:szCs w:val="32"/>
        </w:rPr>
      </w:pPr>
      <w:hyperlink w:anchor="_Toc2151" w:history="1">
        <w:r w:rsidR="00AB1304">
          <w:rPr>
            <w:rFonts w:ascii="仿宋_GB2312" w:eastAsia="仿宋_GB2312" w:hAnsi="仿宋_GB2312" w:cs="仿宋_GB2312" w:hint="eastAsia"/>
            <w:bCs/>
            <w:kern w:val="0"/>
            <w:sz w:val="32"/>
            <w:szCs w:val="32"/>
          </w:rPr>
          <w:t>二、机构设置及人员情况</w:t>
        </w:r>
      </w:hyperlink>
    </w:p>
    <w:p w:rsidR="007B6D5F" w:rsidRDefault="00854CA2">
      <w:pPr>
        <w:pStyle w:val="1"/>
        <w:tabs>
          <w:tab w:val="right" w:pos="8306"/>
        </w:tabs>
        <w:rPr>
          <w:rFonts w:ascii="仿宋_GB2312" w:eastAsia="仿宋_GB2312" w:hAnsi="仿宋_GB2312" w:cs="仿宋_GB2312"/>
          <w:b/>
          <w:bCs/>
          <w:sz w:val="32"/>
          <w:szCs w:val="32"/>
        </w:rPr>
      </w:pPr>
      <w:hyperlink w:anchor="_Toc29374" w:history="1">
        <w:r w:rsidR="00AB1304">
          <w:rPr>
            <w:rFonts w:ascii="仿宋_GB2312" w:eastAsia="仿宋_GB2312" w:hAnsi="仿宋_GB2312" w:cs="仿宋_GB2312" w:hint="eastAsia"/>
            <w:b/>
            <w:bCs/>
            <w:sz w:val="32"/>
            <w:szCs w:val="32"/>
          </w:rPr>
          <w:t>第二部分 部门决算情况说明</w:t>
        </w:r>
      </w:hyperlink>
    </w:p>
    <w:p w:rsidR="007B6D5F" w:rsidRDefault="00854CA2">
      <w:pPr>
        <w:pStyle w:val="2"/>
        <w:tabs>
          <w:tab w:val="right" w:pos="8306"/>
        </w:tabs>
        <w:ind w:leftChars="0" w:left="0"/>
        <w:rPr>
          <w:rFonts w:ascii="仿宋_GB2312" w:eastAsia="仿宋_GB2312" w:hAnsi="仿宋_GB2312" w:cs="仿宋_GB2312"/>
          <w:sz w:val="32"/>
          <w:szCs w:val="32"/>
        </w:rPr>
      </w:pPr>
      <w:hyperlink w:anchor="_Toc25314" w:history="1">
        <w:r w:rsidR="00AB1304">
          <w:rPr>
            <w:rFonts w:ascii="仿宋_GB2312" w:eastAsia="仿宋_GB2312" w:hAnsi="仿宋_GB2312" w:cs="仿宋_GB2312" w:hint="eastAsia"/>
            <w:bCs/>
            <w:kern w:val="0"/>
            <w:sz w:val="32"/>
            <w:szCs w:val="32"/>
          </w:rPr>
          <w:t>一、收入支出决算总体情况说明</w:t>
        </w:r>
      </w:hyperlink>
    </w:p>
    <w:p w:rsidR="007B6D5F" w:rsidRDefault="00854CA2">
      <w:pPr>
        <w:pStyle w:val="2"/>
        <w:tabs>
          <w:tab w:val="right" w:pos="8306"/>
        </w:tabs>
        <w:ind w:leftChars="0" w:left="0"/>
        <w:rPr>
          <w:rFonts w:ascii="仿宋_GB2312" w:eastAsia="仿宋_GB2312" w:hAnsi="仿宋_GB2312" w:cs="仿宋_GB2312"/>
          <w:sz w:val="32"/>
          <w:szCs w:val="32"/>
        </w:rPr>
      </w:pPr>
      <w:hyperlink w:anchor="_Toc12142" w:history="1">
        <w:r w:rsidR="00AB1304">
          <w:rPr>
            <w:rFonts w:ascii="仿宋_GB2312" w:eastAsia="仿宋_GB2312" w:hAnsi="仿宋_GB2312" w:cs="仿宋_GB2312" w:hint="eastAsia"/>
            <w:bCs/>
            <w:kern w:val="0"/>
            <w:sz w:val="32"/>
            <w:szCs w:val="32"/>
          </w:rPr>
          <w:t>二、收入决算情况说明</w:t>
        </w:r>
      </w:hyperlink>
    </w:p>
    <w:p w:rsidR="007B6D5F" w:rsidRDefault="00854CA2">
      <w:pPr>
        <w:pStyle w:val="2"/>
        <w:tabs>
          <w:tab w:val="right" w:pos="8306"/>
        </w:tabs>
        <w:ind w:leftChars="0" w:left="0"/>
        <w:rPr>
          <w:rFonts w:ascii="仿宋_GB2312" w:eastAsia="仿宋_GB2312" w:hAnsi="仿宋_GB2312" w:cs="仿宋_GB2312"/>
          <w:sz w:val="32"/>
          <w:szCs w:val="32"/>
        </w:rPr>
      </w:pPr>
      <w:hyperlink w:anchor="_Toc13201" w:history="1">
        <w:r w:rsidR="00AB1304">
          <w:rPr>
            <w:rFonts w:ascii="仿宋_GB2312" w:eastAsia="仿宋_GB2312" w:hAnsi="仿宋_GB2312" w:cs="仿宋_GB2312" w:hint="eastAsia"/>
            <w:bCs/>
            <w:kern w:val="0"/>
            <w:sz w:val="32"/>
            <w:szCs w:val="32"/>
          </w:rPr>
          <w:t>三、支出决算情况说明</w:t>
        </w:r>
      </w:hyperlink>
    </w:p>
    <w:p w:rsidR="007B6D5F" w:rsidRDefault="00854CA2">
      <w:pPr>
        <w:pStyle w:val="2"/>
        <w:tabs>
          <w:tab w:val="right" w:pos="8306"/>
        </w:tabs>
        <w:ind w:leftChars="0" w:left="0"/>
        <w:rPr>
          <w:rFonts w:ascii="仿宋_GB2312" w:eastAsia="仿宋_GB2312" w:hAnsi="仿宋_GB2312" w:cs="仿宋_GB2312"/>
          <w:sz w:val="32"/>
          <w:szCs w:val="32"/>
        </w:rPr>
      </w:pPr>
      <w:hyperlink w:anchor="_Toc26564" w:history="1">
        <w:r w:rsidR="00AB1304">
          <w:rPr>
            <w:rFonts w:ascii="仿宋_GB2312" w:eastAsia="仿宋_GB2312" w:hAnsi="仿宋_GB2312" w:cs="仿宋_GB2312" w:hint="eastAsia"/>
            <w:bCs/>
            <w:kern w:val="0"/>
            <w:sz w:val="32"/>
            <w:szCs w:val="32"/>
          </w:rPr>
          <w:t>四、财政拨款收入支出决算总体情况说明</w:t>
        </w:r>
      </w:hyperlink>
    </w:p>
    <w:p w:rsidR="007B6D5F" w:rsidRDefault="00854CA2">
      <w:pPr>
        <w:pStyle w:val="2"/>
        <w:tabs>
          <w:tab w:val="right" w:pos="8306"/>
        </w:tabs>
        <w:ind w:leftChars="0" w:left="0"/>
        <w:rPr>
          <w:rFonts w:ascii="仿宋_GB2312" w:eastAsia="仿宋_GB2312" w:hAnsi="仿宋_GB2312" w:cs="仿宋_GB2312"/>
          <w:sz w:val="32"/>
          <w:szCs w:val="32"/>
        </w:rPr>
      </w:pPr>
      <w:hyperlink w:anchor="_Toc20360" w:history="1">
        <w:r w:rsidR="00AB1304">
          <w:rPr>
            <w:rFonts w:ascii="仿宋_GB2312" w:eastAsia="仿宋_GB2312" w:hAnsi="仿宋_GB2312" w:cs="仿宋_GB2312" w:hint="eastAsia"/>
            <w:bCs/>
            <w:kern w:val="0"/>
            <w:sz w:val="32"/>
            <w:szCs w:val="32"/>
          </w:rPr>
          <w:t>五、一般公共预算财政拨款支出决算情况说明</w:t>
        </w:r>
      </w:hyperlink>
    </w:p>
    <w:p w:rsidR="007B6D5F" w:rsidRDefault="00854CA2">
      <w:pPr>
        <w:pStyle w:val="2"/>
        <w:tabs>
          <w:tab w:val="right" w:pos="8306"/>
        </w:tabs>
        <w:ind w:leftChars="0" w:left="0"/>
        <w:rPr>
          <w:rFonts w:ascii="仿宋_GB2312" w:eastAsia="仿宋_GB2312" w:hAnsi="仿宋_GB2312" w:cs="仿宋_GB2312"/>
          <w:sz w:val="32"/>
          <w:szCs w:val="32"/>
        </w:rPr>
      </w:pPr>
      <w:hyperlink w:anchor="_Toc30870" w:history="1">
        <w:r w:rsidR="00AB1304">
          <w:rPr>
            <w:rFonts w:ascii="仿宋_GB2312" w:eastAsia="仿宋_GB2312" w:hAnsi="仿宋_GB2312" w:cs="仿宋_GB2312" w:hint="eastAsia"/>
            <w:bCs/>
            <w:kern w:val="0"/>
            <w:sz w:val="32"/>
            <w:szCs w:val="32"/>
          </w:rPr>
          <w:t>六、一般公共预算财政拨款基本支出决算情况说明</w:t>
        </w:r>
      </w:hyperlink>
    </w:p>
    <w:p w:rsidR="007B6D5F" w:rsidRDefault="00854CA2">
      <w:pPr>
        <w:pStyle w:val="2"/>
        <w:tabs>
          <w:tab w:val="right" w:pos="8306"/>
        </w:tabs>
        <w:ind w:leftChars="0" w:left="0"/>
        <w:rPr>
          <w:rFonts w:ascii="仿宋_GB2312" w:eastAsia="仿宋_GB2312" w:hAnsi="仿宋_GB2312" w:cs="仿宋_GB2312"/>
          <w:sz w:val="32"/>
          <w:szCs w:val="32"/>
        </w:rPr>
      </w:pPr>
      <w:hyperlink w:anchor="_Toc21518" w:history="1">
        <w:r w:rsidR="00AB1304">
          <w:rPr>
            <w:rFonts w:ascii="仿宋_GB2312" w:eastAsia="仿宋_GB2312" w:hAnsi="仿宋_GB2312" w:cs="仿宋_GB2312" w:hint="eastAsia"/>
            <w:bCs/>
            <w:kern w:val="0"/>
            <w:sz w:val="32"/>
            <w:szCs w:val="32"/>
          </w:rPr>
          <w:t>七、一般公共预算财政拨款“三公”经费支出决算情况说明</w:t>
        </w:r>
      </w:hyperlink>
    </w:p>
    <w:p w:rsidR="007B6D5F" w:rsidRDefault="00854CA2">
      <w:pPr>
        <w:pStyle w:val="2"/>
        <w:tabs>
          <w:tab w:val="right" w:pos="8306"/>
        </w:tabs>
        <w:ind w:leftChars="0" w:left="0"/>
        <w:rPr>
          <w:rFonts w:ascii="仿宋_GB2312" w:eastAsia="仿宋_GB2312" w:hAnsi="仿宋_GB2312" w:cs="仿宋_GB2312"/>
          <w:sz w:val="32"/>
          <w:szCs w:val="32"/>
        </w:rPr>
      </w:pPr>
      <w:hyperlink w:anchor="_Toc5810" w:history="1">
        <w:r w:rsidR="00AB1304">
          <w:rPr>
            <w:rFonts w:ascii="仿宋_GB2312" w:eastAsia="仿宋_GB2312" w:hAnsi="仿宋_GB2312" w:cs="仿宋_GB2312" w:hint="eastAsia"/>
            <w:bCs/>
            <w:kern w:val="0"/>
            <w:sz w:val="32"/>
            <w:szCs w:val="32"/>
          </w:rPr>
          <w:t>八、政府性基金预算收入支出决算情况说明</w:t>
        </w:r>
      </w:hyperlink>
    </w:p>
    <w:p w:rsidR="007B6D5F" w:rsidRDefault="00854CA2">
      <w:pPr>
        <w:pStyle w:val="2"/>
        <w:tabs>
          <w:tab w:val="right" w:pos="8306"/>
        </w:tabs>
        <w:ind w:leftChars="0" w:left="0"/>
        <w:rPr>
          <w:rFonts w:ascii="仿宋_GB2312" w:eastAsia="仿宋_GB2312" w:hAnsi="仿宋_GB2312" w:cs="仿宋_GB2312"/>
          <w:sz w:val="32"/>
          <w:szCs w:val="32"/>
        </w:rPr>
      </w:pPr>
      <w:hyperlink w:anchor="_Toc1235" w:history="1">
        <w:r w:rsidR="00AB1304">
          <w:rPr>
            <w:rFonts w:ascii="仿宋_GB2312" w:eastAsia="仿宋_GB2312" w:hAnsi="仿宋_GB2312" w:cs="仿宋_GB2312" w:hint="eastAsia"/>
            <w:bCs/>
            <w:kern w:val="0"/>
            <w:sz w:val="32"/>
            <w:szCs w:val="32"/>
          </w:rPr>
          <w:t>九、其他重要事项的情况说明</w:t>
        </w:r>
      </w:hyperlink>
    </w:p>
    <w:p w:rsidR="007B6D5F" w:rsidRDefault="00854CA2">
      <w:pPr>
        <w:pStyle w:val="3"/>
        <w:tabs>
          <w:tab w:val="right" w:pos="8306"/>
        </w:tabs>
        <w:ind w:leftChars="0" w:left="0"/>
        <w:rPr>
          <w:rFonts w:ascii="仿宋_GB2312" w:eastAsia="仿宋_GB2312" w:hAnsi="仿宋_GB2312" w:cs="仿宋_GB2312"/>
          <w:sz w:val="32"/>
          <w:szCs w:val="32"/>
        </w:rPr>
      </w:pPr>
      <w:hyperlink w:anchor="_Toc14519" w:history="1">
        <w:r w:rsidR="00AB1304">
          <w:rPr>
            <w:rFonts w:ascii="仿宋_GB2312" w:eastAsia="仿宋_GB2312" w:hAnsi="仿宋_GB2312" w:cs="仿宋_GB2312" w:hint="eastAsia"/>
            <w:sz w:val="32"/>
            <w:szCs w:val="32"/>
          </w:rPr>
          <w:t>（一）机关运行经费支出情况</w:t>
        </w:r>
      </w:hyperlink>
    </w:p>
    <w:p w:rsidR="007B6D5F" w:rsidRDefault="00854CA2">
      <w:pPr>
        <w:pStyle w:val="3"/>
        <w:tabs>
          <w:tab w:val="right" w:pos="8306"/>
        </w:tabs>
        <w:ind w:leftChars="0" w:left="0"/>
        <w:rPr>
          <w:rFonts w:ascii="仿宋_GB2312" w:eastAsia="仿宋_GB2312" w:hAnsi="仿宋_GB2312" w:cs="仿宋_GB2312"/>
          <w:sz w:val="32"/>
          <w:szCs w:val="32"/>
        </w:rPr>
      </w:pPr>
      <w:hyperlink w:anchor="_Toc227" w:history="1">
        <w:r w:rsidR="00AB1304">
          <w:rPr>
            <w:rFonts w:ascii="仿宋_GB2312" w:eastAsia="仿宋_GB2312" w:hAnsi="仿宋_GB2312" w:cs="仿宋_GB2312" w:hint="eastAsia"/>
            <w:sz w:val="32"/>
            <w:szCs w:val="32"/>
          </w:rPr>
          <w:t>（二）政府采购情况</w:t>
        </w:r>
      </w:hyperlink>
    </w:p>
    <w:p w:rsidR="007B6D5F" w:rsidRDefault="00854CA2">
      <w:pPr>
        <w:pStyle w:val="3"/>
        <w:tabs>
          <w:tab w:val="right" w:pos="8306"/>
        </w:tabs>
        <w:ind w:leftChars="0" w:left="0"/>
        <w:rPr>
          <w:rFonts w:ascii="仿宋_GB2312" w:eastAsia="仿宋_GB2312" w:hAnsi="仿宋_GB2312" w:cs="仿宋_GB2312"/>
          <w:sz w:val="32"/>
          <w:szCs w:val="32"/>
        </w:rPr>
      </w:pPr>
      <w:hyperlink w:anchor="_Toc8391" w:history="1">
        <w:r w:rsidR="00AB1304">
          <w:rPr>
            <w:rFonts w:ascii="仿宋_GB2312" w:eastAsia="仿宋_GB2312" w:hAnsi="仿宋_GB2312" w:cs="仿宋_GB2312" w:hint="eastAsia"/>
            <w:sz w:val="32"/>
            <w:szCs w:val="32"/>
          </w:rPr>
          <w:t>（三）国有资产占用情况说明</w:t>
        </w:r>
      </w:hyperlink>
    </w:p>
    <w:p w:rsidR="007B6D5F" w:rsidRDefault="00854CA2">
      <w:pPr>
        <w:pStyle w:val="2"/>
        <w:tabs>
          <w:tab w:val="right" w:pos="8306"/>
        </w:tabs>
        <w:ind w:leftChars="0" w:left="0"/>
        <w:rPr>
          <w:rFonts w:ascii="仿宋_GB2312" w:eastAsia="仿宋_GB2312" w:hAnsi="仿宋_GB2312" w:cs="仿宋_GB2312"/>
          <w:sz w:val="32"/>
          <w:szCs w:val="32"/>
        </w:rPr>
      </w:pPr>
      <w:hyperlink w:anchor="_Toc11283" w:history="1">
        <w:r w:rsidR="00AB1304">
          <w:rPr>
            <w:rFonts w:ascii="仿宋_GB2312" w:eastAsia="仿宋_GB2312" w:hAnsi="仿宋_GB2312" w:cs="仿宋_GB2312" w:hint="eastAsia"/>
            <w:bCs/>
            <w:kern w:val="0"/>
            <w:sz w:val="32"/>
            <w:szCs w:val="32"/>
          </w:rPr>
          <w:t>十、预算绩效的情况说明</w:t>
        </w:r>
      </w:hyperlink>
    </w:p>
    <w:p w:rsidR="007B6D5F" w:rsidRDefault="00854CA2">
      <w:pPr>
        <w:pStyle w:val="1"/>
        <w:tabs>
          <w:tab w:val="right" w:pos="8306"/>
        </w:tabs>
        <w:rPr>
          <w:rFonts w:ascii="仿宋_GB2312" w:eastAsia="仿宋_GB2312" w:hAnsi="仿宋_GB2312" w:cs="仿宋_GB2312"/>
          <w:b/>
          <w:bCs/>
          <w:sz w:val="32"/>
          <w:szCs w:val="32"/>
        </w:rPr>
      </w:pPr>
      <w:hyperlink w:anchor="_Toc3250" w:history="1">
        <w:r w:rsidR="00AB1304">
          <w:rPr>
            <w:rFonts w:ascii="仿宋_GB2312" w:eastAsia="仿宋_GB2312" w:hAnsi="仿宋_GB2312" w:cs="仿宋_GB2312" w:hint="eastAsia"/>
            <w:b/>
            <w:bCs/>
            <w:sz w:val="32"/>
            <w:szCs w:val="32"/>
          </w:rPr>
          <w:t>第三部分 专业名词解释</w:t>
        </w:r>
      </w:hyperlink>
    </w:p>
    <w:p w:rsidR="007B6D5F" w:rsidRDefault="00854CA2">
      <w:pPr>
        <w:pStyle w:val="1"/>
        <w:tabs>
          <w:tab w:val="right" w:pos="8306"/>
        </w:tabs>
        <w:rPr>
          <w:rFonts w:ascii="仿宋_GB2312" w:eastAsia="仿宋_GB2312" w:hAnsi="仿宋_GB2312" w:cs="仿宋_GB2312"/>
          <w:b/>
          <w:bCs/>
          <w:sz w:val="32"/>
          <w:szCs w:val="32"/>
        </w:rPr>
      </w:pPr>
      <w:hyperlink w:anchor="_Toc22784" w:history="1">
        <w:r w:rsidR="00AB1304">
          <w:rPr>
            <w:rFonts w:ascii="仿宋_GB2312" w:eastAsia="仿宋_GB2312" w:hAnsi="仿宋_GB2312" w:cs="仿宋_GB2312" w:hint="eastAsia"/>
            <w:b/>
            <w:bCs/>
            <w:sz w:val="32"/>
            <w:szCs w:val="32"/>
          </w:rPr>
          <w:t>第四部分 部门决算报表（见附表）</w:t>
        </w:r>
      </w:hyperlink>
    </w:p>
    <w:p w:rsidR="007B6D5F" w:rsidRDefault="00854CA2">
      <w:pPr>
        <w:pStyle w:val="2"/>
        <w:tabs>
          <w:tab w:val="right" w:pos="8306"/>
        </w:tabs>
        <w:ind w:leftChars="0" w:left="0"/>
        <w:rPr>
          <w:rFonts w:ascii="仿宋_GB2312" w:eastAsia="仿宋_GB2312" w:hAnsi="仿宋_GB2312" w:cs="仿宋_GB2312"/>
          <w:sz w:val="32"/>
          <w:szCs w:val="32"/>
        </w:rPr>
      </w:pPr>
      <w:hyperlink w:anchor="_Toc2183" w:history="1">
        <w:r w:rsidR="00AB1304">
          <w:rPr>
            <w:rFonts w:ascii="仿宋_GB2312" w:eastAsia="仿宋_GB2312" w:hAnsi="仿宋_GB2312" w:cs="仿宋_GB2312" w:hint="eastAsia"/>
            <w:bCs/>
            <w:kern w:val="0"/>
            <w:sz w:val="32"/>
            <w:szCs w:val="32"/>
          </w:rPr>
          <w:t>一、《收入支出决算总表》</w:t>
        </w:r>
      </w:hyperlink>
    </w:p>
    <w:p w:rsidR="007B6D5F" w:rsidRDefault="00854CA2">
      <w:pPr>
        <w:pStyle w:val="2"/>
        <w:tabs>
          <w:tab w:val="right" w:pos="8306"/>
        </w:tabs>
        <w:ind w:leftChars="0" w:left="0"/>
        <w:rPr>
          <w:rFonts w:ascii="仿宋_GB2312" w:eastAsia="仿宋_GB2312" w:hAnsi="仿宋_GB2312" w:cs="仿宋_GB2312"/>
          <w:sz w:val="32"/>
          <w:szCs w:val="32"/>
        </w:rPr>
      </w:pPr>
      <w:hyperlink w:anchor="_Toc24532" w:history="1">
        <w:r w:rsidR="00AB1304">
          <w:rPr>
            <w:rFonts w:ascii="仿宋_GB2312" w:eastAsia="仿宋_GB2312" w:hAnsi="仿宋_GB2312" w:cs="仿宋_GB2312" w:hint="eastAsia"/>
            <w:bCs/>
            <w:kern w:val="0"/>
            <w:sz w:val="32"/>
            <w:szCs w:val="32"/>
          </w:rPr>
          <w:t>二、《收入决算表》</w:t>
        </w:r>
      </w:hyperlink>
    </w:p>
    <w:p w:rsidR="007B6D5F" w:rsidRDefault="00854CA2">
      <w:pPr>
        <w:pStyle w:val="2"/>
        <w:tabs>
          <w:tab w:val="right" w:pos="8306"/>
        </w:tabs>
        <w:ind w:leftChars="0" w:left="0"/>
        <w:rPr>
          <w:rFonts w:ascii="仿宋_GB2312" w:eastAsia="仿宋_GB2312" w:hAnsi="仿宋_GB2312" w:cs="仿宋_GB2312"/>
          <w:sz w:val="32"/>
          <w:szCs w:val="32"/>
        </w:rPr>
      </w:pPr>
      <w:hyperlink w:anchor="_Toc32434" w:history="1">
        <w:r w:rsidR="00AB1304">
          <w:rPr>
            <w:rFonts w:ascii="仿宋_GB2312" w:eastAsia="仿宋_GB2312" w:hAnsi="仿宋_GB2312" w:cs="仿宋_GB2312" w:hint="eastAsia"/>
            <w:bCs/>
            <w:kern w:val="0"/>
            <w:sz w:val="32"/>
            <w:szCs w:val="32"/>
          </w:rPr>
          <w:t>三、《支出决算表》</w:t>
        </w:r>
      </w:hyperlink>
    </w:p>
    <w:p w:rsidR="007B6D5F" w:rsidRDefault="00854CA2">
      <w:pPr>
        <w:pStyle w:val="2"/>
        <w:tabs>
          <w:tab w:val="right" w:pos="8306"/>
        </w:tabs>
        <w:ind w:leftChars="0" w:left="0"/>
        <w:rPr>
          <w:rFonts w:ascii="仿宋_GB2312" w:eastAsia="仿宋_GB2312" w:hAnsi="仿宋_GB2312" w:cs="仿宋_GB2312"/>
          <w:sz w:val="32"/>
          <w:szCs w:val="32"/>
        </w:rPr>
      </w:pPr>
      <w:hyperlink w:anchor="_Toc28786" w:history="1">
        <w:r w:rsidR="00AB1304">
          <w:rPr>
            <w:rFonts w:ascii="仿宋_GB2312" w:eastAsia="仿宋_GB2312" w:hAnsi="仿宋_GB2312" w:cs="仿宋_GB2312" w:hint="eastAsia"/>
            <w:bCs/>
            <w:kern w:val="0"/>
            <w:sz w:val="32"/>
            <w:szCs w:val="32"/>
          </w:rPr>
          <w:t>四、《财政拨款收入支出决算总表》</w:t>
        </w:r>
      </w:hyperlink>
    </w:p>
    <w:p w:rsidR="007B6D5F" w:rsidRDefault="00854CA2">
      <w:pPr>
        <w:pStyle w:val="2"/>
        <w:tabs>
          <w:tab w:val="right" w:pos="8306"/>
        </w:tabs>
        <w:ind w:leftChars="0" w:left="0"/>
        <w:rPr>
          <w:rFonts w:ascii="仿宋_GB2312" w:eastAsia="仿宋_GB2312" w:hAnsi="仿宋_GB2312" w:cs="仿宋_GB2312"/>
          <w:sz w:val="32"/>
          <w:szCs w:val="32"/>
        </w:rPr>
      </w:pPr>
      <w:hyperlink w:anchor="_Toc14869" w:history="1">
        <w:r w:rsidR="00AB1304">
          <w:rPr>
            <w:rFonts w:ascii="仿宋_GB2312" w:eastAsia="仿宋_GB2312" w:hAnsi="仿宋_GB2312" w:cs="仿宋_GB2312" w:hint="eastAsia"/>
            <w:bCs/>
            <w:kern w:val="0"/>
            <w:sz w:val="32"/>
            <w:szCs w:val="32"/>
          </w:rPr>
          <w:t>五、《一般公共预算财政拨款支出决算表》</w:t>
        </w:r>
      </w:hyperlink>
    </w:p>
    <w:p w:rsidR="007B6D5F" w:rsidRDefault="00854CA2">
      <w:pPr>
        <w:pStyle w:val="2"/>
        <w:tabs>
          <w:tab w:val="right" w:pos="8306"/>
        </w:tabs>
        <w:ind w:leftChars="0" w:left="0"/>
        <w:rPr>
          <w:rFonts w:ascii="仿宋_GB2312" w:eastAsia="仿宋_GB2312" w:hAnsi="仿宋_GB2312" w:cs="仿宋_GB2312"/>
          <w:sz w:val="32"/>
          <w:szCs w:val="32"/>
        </w:rPr>
      </w:pPr>
      <w:hyperlink w:anchor="_Toc8884" w:history="1">
        <w:r w:rsidR="00AB1304">
          <w:rPr>
            <w:rFonts w:ascii="仿宋_GB2312" w:eastAsia="仿宋_GB2312" w:hAnsi="仿宋_GB2312" w:cs="仿宋_GB2312" w:hint="eastAsia"/>
            <w:bCs/>
            <w:kern w:val="0"/>
            <w:sz w:val="32"/>
            <w:szCs w:val="32"/>
          </w:rPr>
          <w:t>六、《一般公共预算财政拨款基本支出决算表》</w:t>
        </w:r>
      </w:hyperlink>
    </w:p>
    <w:p w:rsidR="007B6D5F" w:rsidRDefault="00854CA2">
      <w:pPr>
        <w:pStyle w:val="2"/>
        <w:tabs>
          <w:tab w:val="right" w:pos="8306"/>
        </w:tabs>
        <w:ind w:leftChars="0" w:left="0"/>
        <w:rPr>
          <w:rFonts w:ascii="仿宋_GB2312" w:eastAsia="仿宋_GB2312" w:hAnsi="仿宋_GB2312" w:cs="仿宋_GB2312"/>
          <w:sz w:val="32"/>
          <w:szCs w:val="32"/>
        </w:rPr>
      </w:pPr>
      <w:hyperlink w:anchor="_Toc29106" w:history="1">
        <w:r w:rsidR="00AB1304">
          <w:rPr>
            <w:rFonts w:ascii="仿宋_GB2312" w:eastAsia="仿宋_GB2312" w:hAnsi="仿宋_GB2312" w:cs="仿宋_GB2312" w:hint="eastAsia"/>
            <w:bCs/>
            <w:kern w:val="0"/>
            <w:sz w:val="32"/>
            <w:szCs w:val="32"/>
          </w:rPr>
          <w:t>七、《一般公共预算财政拨款“三公”经费支出决算表》</w:t>
        </w:r>
      </w:hyperlink>
    </w:p>
    <w:p w:rsidR="007B6D5F" w:rsidRDefault="00854CA2">
      <w:pPr>
        <w:pStyle w:val="2"/>
        <w:tabs>
          <w:tab w:val="right" w:pos="8306"/>
        </w:tabs>
        <w:ind w:leftChars="0" w:left="0"/>
        <w:rPr>
          <w:rFonts w:ascii="仿宋_GB2312" w:eastAsia="仿宋_GB2312" w:hAnsi="仿宋_GB2312" w:cs="仿宋_GB2312"/>
          <w:sz w:val="32"/>
          <w:szCs w:val="32"/>
        </w:rPr>
      </w:pPr>
      <w:hyperlink w:anchor="_Toc7643" w:history="1">
        <w:r w:rsidR="00AB1304">
          <w:rPr>
            <w:rFonts w:ascii="仿宋_GB2312" w:eastAsia="仿宋_GB2312" w:hAnsi="仿宋_GB2312" w:cs="仿宋_GB2312" w:hint="eastAsia"/>
            <w:bCs/>
            <w:kern w:val="0"/>
            <w:sz w:val="32"/>
            <w:szCs w:val="32"/>
          </w:rPr>
          <w:t>八、《政府性基金预算财政拨款收入支出决算表》</w:t>
        </w:r>
      </w:hyperlink>
    </w:p>
    <w:p w:rsidR="007B6D5F" w:rsidRDefault="00093090">
      <w:r>
        <w:rPr>
          <w:rFonts w:ascii="仿宋_GB2312" w:eastAsia="仿宋_GB2312" w:hAnsi="仿宋_GB2312" w:cs="仿宋_GB2312" w:hint="eastAsia"/>
          <w:sz w:val="32"/>
          <w:szCs w:val="32"/>
        </w:rPr>
        <w:fldChar w:fldCharType="end"/>
      </w:r>
    </w:p>
    <w:p w:rsidR="007B6D5F" w:rsidRDefault="00AB1304">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1" w:name="_Toc24028"/>
      <w:bookmarkStart w:id="2" w:name="_Toc32314"/>
      <w:r>
        <w:rPr>
          <w:rFonts w:ascii="黑体" w:eastAsia="黑体" w:hAnsi="黑体" w:hint="eastAsia"/>
          <w:sz w:val="32"/>
          <w:szCs w:val="32"/>
        </w:rPr>
        <w:t>第一部分 部门单位概况</w:t>
      </w:r>
      <w:bookmarkEnd w:id="1"/>
      <w:bookmarkEnd w:id="2"/>
    </w:p>
    <w:p w:rsidR="007B6D5F" w:rsidRDefault="00AB1304">
      <w:pPr>
        <w:ind w:firstLineChars="200" w:firstLine="640"/>
        <w:outlineLvl w:val="1"/>
        <w:rPr>
          <w:rFonts w:ascii="黑体" w:eastAsia="黑体" w:hAnsi="黑体" w:cs="宋体"/>
          <w:bCs/>
          <w:kern w:val="0"/>
          <w:sz w:val="32"/>
          <w:szCs w:val="32"/>
        </w:rPr>
      </w:pPr>
      <w:bookmarkStart w:id="3" w:name="_Toc30738"/>
      <w:bookmarkStart w:id="4" w:name="_Toc30567"/>
      <w:r>
        <w:rPr>
          <w:rFonts w:ascii="黑体" w:eastAsia="黑体" w:hAnsi="黑体" w:cs="宋体" w:hint="eastAsia"/>
          <w:bCs/>
          <w:kern w:val="0"/>
          <w:sz w:val="32"/>
          <w:szCs w:val="32"/>
        </w:rPr>
        <w:t>一、主要职能</w:t>
      </w:r>
      <w:bookmarkEnd w:id="3"/>
      <w:bookmarkEnd w:id="4"/>
    </w:p>
    <w:p w:rsidR="007B6D5F" w:rsidRDefault="00AB1304">
      <w:pPr>
        <w:rPr>
          <w:rFonts w:ascii="仿宋_GB2312" w:eastAsia="仿宋_GB2312"/>
          <w:sz w:val="32"/>
          <w:szCs w:val="32"/>
        </w:rPr>
      </w:pPr>
      <w:r>
        <w:rPr>
          <w:rFonts w:ascii="仿宋_GB2312" w:eastAsia="仿宋_GB2312" w:hint="eastAsia"/>
          <w:sz w:val="32"/>
          <w:szCs w:val="32"/>
        </w:rPr>
        <w:t xml:space="preserve">    1、喀什日报社成立于1956年7月1日，隶属中共喀什地委的正县级事业单位。</w:t>
      </w:r>
      <w:r>
        <w:rPr>
          <w:rFonts w:ascii="仿宋_GB2312" w:eastAsia="仿宋_GB2312" w:hint="eastAsia"/>
          <w:sz w:val="32"/>
          <w:szCs w:val="32"/>
        </w:rPr>
        <w:br/>
        <w:t xml:space="preserve">    2、主要职责是主办喀什地委机关报—《喀什日报》和中国喀什网、喀什零距离（</w:t>
      </w:r>
      <w:r w:rsidR="00ED39D1">
        <w:rPr>
          <w:rFonts w:ascii="仿宋_GB2312" w:eastAsia="仿宋_GB2312" w:hint="eastAsia"/>
          <w:sz w:val="32"/>
          <w:szCs w:val="32"/>
        </w:rPr>
        <w:t>少数民族语言文字</w:t>
      </w:r>
      <w:r>
        <w:rPr>
          <w:rFonts w:ascii="仿宋_GB2312" w:eastAsia="仿宋_GB2312" w:hint="eastAsia"/>
          <w:sz w:val="32"/>
          <w:szCs w:val="32"/>
        </w:rPr>
        <w:t>、</w:t>
      </w:r>
      <w:r w:rsidR="00395B47">
        <w:rPr>
          <w:rFonts w:ascii="仿宋_GB2312" w:eastAsia="仿宋_GB2312" w:hint="eastAsia"/>
          <w:sz w:val="32"/>
          <w:szCs w:val="32"/>
        </w:rPr>
        <w:t>国家通用语言文字</w:t>
      </w:r>
      <w:r>
        <w:rPr>
          <w:rFonts w:ascii="仿宋_GB2312" w:eastAsia="仿宋_GB2312" w:hint="eastAsia"/>
          <w:sz w:val="32"/>
          <w:szCs w:val="32"/>
        </w:rPr>
        <w:t>）、和中国喀什网、维、汉语</w:t>
      </w:r>
      <w:proofErr w:type="gramStart"/>
      <w:r>
        <w:rPr>
          <w:rFonts w:ascii="仿宋_GB2312" w:eastAsia="仿宋_GB2312" w:hint="eastAsia"/>
          <w:sz w:val="32"/>
          <w:szCs w:val="32"/>
        </w:rPr>
        <w:t>微信平台</w:t>
      </w:r>
      <w:proofErr w:type="gramEnd"/>
      <w:r>
        <w:rPr>
          <w:rFonts w:ascii="仿宋_GB2312" w:eastAsia="仿宋_GB2312" w:hint="eastAsia"/>
          <w:sz w:val="32"/>
          <w:szCs w:val="32"/>
        </w:rPr>
        <w:t>。</w:t>
      </w:r>
      <w:r>
        <w:rPr>
          <w:rFonts w:ascii="仿宋_GB2312" w:eastAsia="仿宋_GB2312" w:hint="eastAsia"/>
          <w:sz w:val="32"/>
          <w:szCs w:val="32"/>
        </w:rPr>
        <w:br/>
        <w:t xml:space="preserve">    3、主要任务是紧紧围绕总目标，充分发挥主流媒体作用，把握正确的舆论导向，唱响主旋律、打好主动仗，全力配合自治区党委、地委、行署中心工作，做好宣传群众、教育群众、发动群众的工作，为喀什地区各项事业发展提供舆论支持、营造良好氛围。</w:t>
      </w:r>
      <w:r>
        <w:rPr>
          <w:rFonts w:ascii="仿宋_GB2312" w:eastAsia="仿宋_GB2312" w:hint="eastAsia"/>
          <w:sz w:val="32"/>
          <w:szCs w:val="32"/>
        </w:rPr>
        <w:br/>
        <w:t xml:space="preserve">    4、喀什日报社下设7个部门：①办公室、②总编室、③</w:t>
      </w:r>
      <w:r w:rsidR="00ED39D1">
        <w:rPr>
          <w:rFonts w:ascii="仿宋_GB2312" w:eastAsia="仿宋_GB2312" w:hint="eastAsia"/>
          <w:sz w:val="32"/>
          <w:szCs w:val="32"/>
        </w:rPr>
        <w:t>少数民族语言文字</w:t>
      </w:r>
      <w:r>
        <w:rPr>
          <w:rFonts w:ascii="仿宋_GB2312" w:eastAsia="仿宋_GB2312" w:hint="eastAsia"/>
          <w:sz w:val="32"/>
          <w:szCs w:val="32"/>
        </w:rPr>
        <w:t>编辑部、④</w:t>
      </w:r>
      <w:r w:rsidR="00395B47">
        <w:rPr>
          <w:rFonts w:ascii="仿宋_GB2312" w:eastAsia="仿宋_GB2312" w:hint="eastAsia"/>
          <w:sz w:val="32"/>
          <w:szCs w:val="32"/>
        </w:rPr>
        <w:t>国家通用语言文字</w:t>
      </w:r>
      <w:r>
        <w:rPr>
          <w:rFonts w:ascii="仿宋_GB2312" w:eastAsia="仿宋_GB2312" w:hint="eastAsia"/>
          <w:sz w:val="32"/>
          <w:szCs w:val="32"/>
        </w:rPr>
        <w:t>编辑部、⑤、采通中心、⑥广告部、⑦编委办。</w:t>
      </w:r>
    </w:p>
    <w:p w:rsidR="007B6D5F" w:rsidRDefault="00AB1304">
      <w:pPr>
        <w:ind w:firstLineChars="200" w:firstLine="640"/>
        <w:outlineLvl w:val="1"/>
        <w:rPr>
          <w:rFonts w:ascii="黑体" w:eastAsia="黑体" w:hAnsi="黑体" w:cs="宋体"/>
          <w:bCs/>
          <w:kern w:val="0"/>
          <w:sz w:val="32"/>
          <w:szCs w:val="32"/>
        </w:rPr>
      </w:pPr>
      <w:bookmarkStart w:id="5" w:name="_Toc31238"/>
      <w:bookmarkStart w:id="6" w:name="_Toc2151"/>
      <w:r>
        <w:rPr>
          <w:rFonts w:ascii="黑体" w:eastAsia="黑体" w:hAnsi="黑体" w:cs="宋体" w:hint="eastAsia"/>
          <w:bCs/>
          <w:kern w:val="0"/>
          <w:sz w:val="32"/>
          <w:szCs w:val="32"/>
        </w:rPr>
        <w:t>二、机构设置及</w:t>
      </w:r>
      <w:bookmarkEnd w:id="5"/>
      <w:r>
        <w:rPr>
          <w:rFonts w:ascii="黑体" w:eastAsia="黑体" w:hAnsi="黑体" w:cs="宋体" w:hint="eastAsia"/>
          <w:bCs/>
          <w:kern w:val="0"/>
          <w:sz w:val="32"/>
          <w:szCs w:val="32"/>
        </w:rPr>
        <w:t>人员情况</w:t>
      </w:r>
      <w:bookmarkEnd w:id="6"/>
    </w:p>
    <w:p w:rsidR="007B6D5F" w:rsidRDefault="00AB1304">
      <w:pPr>
        <w:ind w:firstLineChars="200" w:firstLine="640"/>
      </w:pPr>
      <w:r>
        <w:rPr>
          <w:rFonts w:ascii="仿宋_GB2312" w:eastAsia="仿宋_GB2312" w:hint="eastAsia"/>
          <w:sz w:val="32"/>
          <w:szCs w:val="32"/>
        </w:rPr>
        <w:t>新疆喀什日报社2</w:t>
      </w:r>
      <w:r>
        <w:rPr>
          <w:rFonts w:ascii="仿宋_GB2312" w:eastAsia="仿宋_GB2312"/>
          <w:sz w:val="32"/>
          <w:szCs w:val="32"/>
        </w:rPr>
        <w:t>019</w:t>
      </w:r>
      <w:r>
        <w:rPr>
          <w:rFonts w:ascii="仿宋_GB2312" w:eastAsia="仿宋_GB2312" w:hint="eastAsia"/>
          <w:sz w:val="32"/>
          <w:szCs w:val="32"/>
        </w:rPr>
        <w:t>年度，实有人数163人，其中：在职人员96人，离休人员4人，退休人员63人。</w:t>
      </w:r>
    </w:p>
    <w:p w:rsidR="007B6D5F" w:rsidRDefault="00AB1304">
      <w:pPr>
        <w:ind w:firstLineChars="200" w:firstLine="640"/>
        <w:rPr>
          <w:rFonts w:ascii="仿宋_GB2312" w:eastAsia="仿宋_GB2312"/>
          <w:sz w:val="32"/>
          <w:szCs w:val="32"/>
        </w:rPr>
      </w:pPr>
      <w:r>
        <w:rPr>
          <w:rFonts w:ascii="仿宋_GB2312" w:eastAsia="仿宋_GB2312" w:hint="eastAsia"/>
          <w:sz w:val="32"/>
          <w:szCs w:val="32"/>
        </w:rPr>
        <w:t>从部门决算单位构成看，新疆喀什日报社部门决算包括：新疆喀什日报社决算。</w:t>
      </w:r>
    </w:p>
    <w:p w:rsidR="007B6D5F" w:rsidRDefault="00AB1304">
      <w:pPr>
        <w:ind w:firstLineChars="200" w:firstLine="640"/>
        <w:jc w:val="center"/>
        <w:outlineLvl w:val="0"/>
        <w:rPr>
          <w:rFonts w:ascii="黑体" w:eastAsia="黑体" w:hAnsi="黑体"/>
          <w:sz w:val="32"/>
          <w:szCs w:val="32"/>
        </w:rPr>
      </w:pPr>
      <w:bookmarkStart w:id="7" w:name="_Toc29374"/>
      <w:bookmarkStart w:id="8" w:name="_Toc3092"/>
      <w:r>
        <w:rPr>
          <w:rFonts w:ascii="黑体" w:eastAsia="黑体" w:hAnsi="黑体" w:hint="eastAsia"/>
          <w:sz w:val="32"/>
          <w:szCs w:val="32"/>
        </w:rPr>
        <w:t>第二部分 部门决算情况说明</w:t>
      </w:r>
      <w:bookmarkEnd w:id="7"/>
      <w:bookmarkEnd w:id="8"/>
    </w:p>
    <w:p w:rsidR="007B6D5F" w:rsidRDefault="00AB1304">
      <w:pPr>
        <w:ind w:firstLineChars="200" w:firstLine="640"/>
        <w:outlineLvl w:val="1"/>
        <w:rPr>
          <w:rFonts w:ascii="黑体" w:eastAsia="黑体" w:hAnsi="黑体" w:cs="宋体"/>
          <w:bCs/>
          <w:kern w:val="0"/>
          <w:sz w:val="32"/>
          <w:szCs w:val="32"/>
        </w:rPr>
      </w:pPr>
      <w:bookmarkStart w:id="9" w:name="_Toc25314"/>
      <w:bookmarkStart w:id="10" w:name="_Toc12566"/>
      <w:r>
        <w:rPr>
          <w:rFonts w:ascii="黑体" w:eastAsia="黑体" w:hAnsi="黑体" w:cs="宋体" w:hint="eastAsia"/>
          <w:bCs/>
          <w:kern w:val="0"/>
          <w:sz w:val="32"/>
          <w:szCs w:val="32"/>
        </w:rPr>
        <w:t>一、收入支出决算总体情况说明</w:t>
      </w:r>
      <w:bookmarkEnd w:id="9"/>
      <w:bookmarkEnd w:id="10"/>
    </w:p>
    <w:p w:rsidR="007B6D5F" w:rsidRDefault="00AB1304">
      <w:pPr>
        <w:ind w:firstLineChars="200" w:firstLine="640"/>
        <w:rPr>
          <w:rFonts w:ascii="仿宋_GB2312" w:eastAsia="仿宋_GB2312"/>
          <w:sz w:val="32"/>
          <w:szCs w:val="32"/>
        </w:rPr>
      </w:pPr>
      <w:r>
        <w:rPr>
          <w:rFonts w:ascii="仿宋_GB2312" w:eastAsia="仿宋_GB2312" w:hint="eastAsia"/>
          <w:sz w:val="32"/>
          <w:szCs w:val="32"/>
        </w:rPr>
        <w:t>2019年度本年收入3,302.90万元，与上年相比，增加935.71万元，增长39.53%，主要原因是：</w:t>
      </w:r>
      <w:r>
        <w:rPr>
          <w:rFonts w:ascii="仿宋_GB2312" w:eastAsia="仿宋_GB2312" w:hint="eastAsia"/>
          <w:color w:val="000000" w:themeColor="text1"/>
          <w:sz w:val="32"/>
          <w:szCs w:val="32"/>
        </w:rPr>
        <w:t>基本收入与上年相比减少90.87万元，其中：在职职工辞职7人，在职转退休2人，退休死亡2人；项目与上年同比增加1026.58万元，增加专项经费、增加土地联合开发诉讼费项目。</w:t>
      </w:r>
      <w:r>
        <w:rPr>
          <w:rFonts w:ascii="仿宋_GB2312" w:eastAsia="仿宋_GB2312" w:hint="eastAsia"/>
          <w:sz w:val="32"/>
          <w:szCs w:val="32"/>
        </w:rPr>
        <w:t>本年支出3,302.90万元，与上年相比，增加935.71万元，增长39.53%，主要原因是：</w:t>
      </w:r>
      <w:r>
        <w:rPr>
          <w:rFonts w:ascii="仿宋_GB2312" w:eastAsia="仿宋_GB2312" w:hint="eastAsia"/>
          <w:color w:val="000000" w:themeColor="text1"/>
          <w:sz w:val="32"/>
          <w:szCs w:val="32"/>
        </w:rPr>
        <w:t>基本支出与上年相比减少90.87万元，其中：在职职工辞职7人，在职转退休2人，退休死亡2人；项目与上年同比增加1026.58万元，增加专项经费、增加土地联合开发诉讼费项目。</w:t>
      </w:r>
    </w:p>
    <w:p w:rsidR="007B6D5F" w:rsidRDefault="00AB1304">
      <w:pPr>
        <w:ind w:firstLineChars="200" w:firstLine="640"/>
        <w:outlineLvl w:val="1"/>
        <w:rPr>
          <w:rFonts w:ascii="黑体" w:eastAsia="黑体" w:hAnsi="黑体" w:cs="宋体"/>
          <w:bCs/>
          <w:kern w:val="0"/>
          <w:sz w:val="32"/>
          <w:szCs w:val="32"/>
        </w:rPr>
      </w:pPr>
      <w:bookmarkStart w:id="11" w:name="_Toc12142"/>
      <w:bookmarkStart w:id="12" w:name="_Toc1979"/>
      <w:r>
        <w:rPr>
          <w:rFonts w:ascii="黑体" w:eastAsia="黑体" w:hAnsi="黑体" w:cs="宋体" w:hint="eastAsia"/>
          <w:bCs/>
          <w:kern w:val="0"/>
          <w:sz w:val="32"/>
          <w:szCs w:val="32"/>
        </w:rPr>
        <w:t>二、收入决算情况说明</w:t>
      </w:r>
      <w:bookmarkEnd w:id="11"/>
      <w:bookmarkEnd w:id="12"/>
    </w:p>
    <w:p w:rsidR="007B6D5F" w:rsidRDefault="00AB1304">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年度本年收入3,302.90万元，其中：财政拨款收入3,302.90万元，占100%；上级补助收入0万元，占0%；事业收入0万元，占0%；经营收入0万元，占0%；附属单位上缴收入0万元，占0%；其他收入0万元，占0%。</w:t>
      </w:r>
    </w:p>
    <w:p w:rsidR="007B6D5F" w:rsidRDefault="00AB1304">
      <w:pPr>
        <w:ind w:firstLineChars="200" w:firstLine="640"/>
        <w:outlineLvl w:val="1"/>
        <w:rPr>
          <w:rFonts w:ascii="黑体" w:eastAsia="黑体" w:hAnsi="黑体" w:cs="宋体"/>
          <w:bCs/>
          <w:kern w:val="0"/>
          <w:sz w:val="32"/>
          <w:szCs w:val="32"/>
        </w:rPr>
      </w:pPr>
      <w:bookmarkStart w:id="13" w:name="_Toc13201"/>
      <w:bookmarkStart w:id="14" w:name="_Toc27961"/>
      <w:r>
        <w:rPr>
          <w:rFonts w:ascii="黑体" w:eastAsia="黑体" w:hAnsi="黑体" w:cs="宋体" w:hint="eastAsia"/>
          <w:bCs/>
          <w:kern w:val="0"/>
          <w:sz w:val="32"/>
          <w:szCs w:val="32"/>
        </w:rPr>
        <w:t>三、支出决算情况说明</w:t>
      </w:r>
      <w:bookmarkEnd w:id="13"/>
      <w:bookmarkEnd w:id="14"/>
    </w:p>
    <w:p w:rsidR="007B6D5F" w:rsidRDefault="00AB1304">
      <w:pPr>
        <w:ind w:firstLineChars="200" w:firstLine="640"/>
        <w:rPr>
          <w:rFonts w:ascii="仿宋_GB2312" w:eastAsia="仿宋_GB2312"/>
          <w:sz w:val="32"/>
          <w:szCs w:val="32"/>
        </w:rPr>
      </w:pPr>
      <w:r>
        <w:rPr>
          <w:rFonts w:ascii="仿宋_GB2312" w:eastAsia="仿宋_GB2312" w:hint="eastAsia"/>
          <w:sz w:val="32"/>
          <w:szCs w:val="32"/>
        </w:rPr>
        <w:t>2019年度本年支出3,302.90万元，其中：基本支出1,471.37万元，占44.55%；项目支出1,831.53万元，占55.45%；上缴上级支出0万元，占0%；经营支出0万元，占0%；对附属单位补助支出0万元，占0%。</w:t>
      </w:r>
    </w:p>
    <w:p w:rsidR="007B6D5F" w:rsidRDefault="00AB1304">
      <w:pPr>
        <w:ind w:firstLineChars="200" w:firstLine="640"/>
        <w:outlineLvl w:val="1"/>
        <w:rPr>
          <w:rFonts w:ascii="黑体" w:eastAsia="黑体" w:hAnsi="黑体" w:cs="宋体"/>
          <w:bCs/>
          <w:kern w:val="0"/>
          <w:sz w:val="32"/>
          <w:szCs w:val="32"/>
        </w:rPr>
      </w:pPr>
      <w:bookmarkStart w:id="15" w:name="_Toc4393"/>
      <w:bookmarkStart w:id="16" w:name="_Toc26564"/>
      <w:r>
        <w:rPr>
          <w:rFonts w:ascii="黑体" w:eastAsia="黑体" w:hAnsi="黑体" w:cs="宋体" w:hint="eastAsia"/>
          <w:bCs/>
          <w:kern w:val="0"/>
          <w:sz w:val="32"/>
          <w:szCs w:val="32"/>
        </w:rPr>
        <w:t>四、财政拨款收入支出决算总体情况说明</w:t>
      </w:r>
      <w:bookmarkEnd w:id="15"/>
      <w:bookmarkEnd w:id="16"/>
    </w:p>
    <w:p w:rsidR="007B6D5F" w:rsidRDefault="00AB1304">
      <w:pPr>
        <w:ind w:firstLineChars="200" w:firstLine="640"/>
        <w:rPr>
          <w:rFonts w:ascii="仿宋_GB2312" w:eastAsia="仿宋_GB2312"/>
          <w:sz w:val="32"/>
          <w:szCs w:val="32"/>
        </w:rPr>
      </w:pPr>
      <w:r>
        <w:rPr>
          <w:rFonts w:ascii="仿宋_GB2312" w:eastAsia="仿宋_GB2312" w:hint="eastAsia"/>
          <w:sz w:val="32"/>
          <w:szCs w:val="32"/>
        </w:rPr>
        <w:t>2019年度财政拨款收入3,302.90万元，与上年相比，增加1,602.21万元，增长94.21%，主要原因是：2018年度财政拨款收入（预算内）1700.69万元，其他收入（预算外）666.5万元，2019年度全部纳入预算内收入3302.9万元。财政拨款支出3,302.90万元，与上年相比，增加1,602.21万元，增长94.21%，主要原因是：</w:t>
      </w:r>
      <w:r>
        <w:rPr>
          <w:rFonts w:ascii="仿宋_GB2312" w:eastAsia="仿宋_GB2312"/>
          <w:sz w:val="32"/>
          <w:szCs w:val="32"/>
        </w:rPr>
        <w:t>2018年度财政拨款支出（预算内）1700.69万元，其他支出（预算外）666.5万元，2019年度全部纳入预算内支出3302.9万元。</w:t>
      </w:r>
    </w:p>
    <w:p w:rsidR="007B6D5F" w:rsidRDefault="00AB1304">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Pr>
          <w:rFonts w:ascii="仿宋_GB2312" w:eastAsia="仿宋_GB2312"/>
          <w:color w:val="000000" w:themeColor="text1"/>
          <w:sz w:val="32"/>
          <w:szCs w:val="32"/>
        </w:rPr>
        <w:t>1,641.67</w:t>
      </w:r>
      <w:r>
        <w:rPr>
          <w:rFonts w:ascii="仿宋_GB2312" w:eastAsia="仿宋_GB2312" w:hint="eastAsia"/>
          <w:sz w:val="32"/>
          <w:szCs w:val="32"/>
        </w:rPr>
        <w:t>万元，决算数3,302.90万元</w:t>
      </w:r>
      <w:r>
        <w:rPr>
          <w:rFonts w:ascii="仿宋_GB2312" w:eastAsia="仿宋_GB2312"/>
          <w:color w:val="000000" w:themeColor="text1"/>
          <w:sz w:val="32"/>
          <w:szCs w:val="32"/>
        </w:rPr>
        <w:t>，预决算差异率101.19%，主要原因是：2018年10月做预算，其中预算内财政拨款收入1641.67万元，主要为基本</w:t>
      </w:r>
      <w:r>
        <w:rPr>
          <w:rFonts w:ascii="仿宋_GB2312" w:eastAsia="仿宋_GB2312" w:hint="eastAsia"/>
          <w:color w:val="000000" w:themeColor="text1"/>
          <w:sz w:val="32"/>
          <w:szCs w:val="32"/>
        </w:rPr>
        <w:t>收入</w:t>
      </w:r>
      <w:r>
        <w:rPr>
          <w:rFonts w:ascii="仿宋_GB2312" w:eastAsia="仿宋_GB2312"/>
          <w:color w:val="000000" w:themeColor="text1"/>
          <w:sz w:val="32"/>
          <w:szCs w:val="32"/>
        </w:rPr>
        <w:t>；预算外1826.50元为项目收入，2019年度预算外项目其他收入纳入预算内管理。</w:t>
      </w:r>
      <w:r>
        <w:rPr>
          <w:rFonts w:ascii="仿宋_GB2312" w:eastAsia="仿宋_GB2312" w:hint="eastAsia"/>
          <w:sz w:val="32"/>
          <w:szCs w:val="32"/>
        </w:rPr>
        <w:t>财政拨款支出年初预算数</w:t>
      </w:r>
      <w:r>
        <w:rPr>
          <w:rFonts w:ascii="仿宋_GB2312" w:eastAsia="仿宋_GB2312"/>
          <w:color w:val="000000" w:themeColor="text1"/>
          <w:sz w:val="32"/>
          <w:szCs w:val="32"/>
        </w:rPr>
        <w:t>1,641.67</w:t>
      </w:r>
      <w:r>
        <w:rPr>
          <w:rFonts w:ascii="仿宋_GB2312" w:eastAsia="仿宋_GB2312" w:hint="eastAsia"/>
          <w:sz w:val="32"/>
          <w:szCs w:val="32"/>
        </w:rPr>
        <w:t>万元，决算数3,302.90万元</w:t>
      </w:r>
      <w:r>
        <w:rPr>
          <w:rFonts w:ascii="仿宋_GB2312" w:eastAsia="仿宋_GB2312"/>
          <w:color w:val="000000" w:themeColor="text1"/>
          <w:sz w:val="32"/>
          <w:szCs w:val="32"/>
        </w:rPr>
        <w:t>，预决算差异率101.19%，主要原因是：2018年10月做预算，其中预算内财政拨款支出1641.67万元，主要为基本支出；预算外1826.50元为项目支出，2019年度预算外项目其他支出纳入预算内管理。</w:t>
      </w:r>
    </w:p>
    <w:p w:rsidR="007B6D5F" w:rsidRDefault="00AB1304">
      <w:pPr>
        <w:ind w:firstLineChars="200" w:firstLine="640"/>
        <w:outlineLvl w:val="1"/>
        <w:rPr>
          <w:rFonts w:ascii="黑体" w:eastAsia="黑体" w:hAnsi="黑体" w:cs="宋体"/>
          <w:bCs/>
          <w:kern w:val="0"/>
          <w:sz w:val="32"/>
          <w:szCs w:val="32"/>
        </w:rPr>
      </w:pPr>
      <w:bookmarkStart w:id="17" w:name="_Toc13833"/>
      <w:bookmarkStart w:id="18" w:name="_Toc20360"/>
      <w:r>
        <w:rPr>
          <w:rFonts w:ascii="黑体" w:eastAsia="黑体" w:hAnsi="黑体" w:cs="宋体" w:hint="eastAsia"/>
          <w:bCs/>
          <w:kern w:val="0"/>
          <w:sz w:val="32"/>
          <w:szCs w:val="32"/>
        </w:rPr>
        <w:t>五、一般公共预算财政拨款支出决算情况说明</w:t>
      </w:r>
      <w:bookmarkEnd w:id="17"/>
      <w:bookmarkEnd w:id="18"/>
    </w:p>
    <w:p w:rsidR="007B6D5F" w:rsidRDefault="00AB1304">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年度一般公共预算财政拨款支出3,302.90万元。按功能分类科目项级科目公开，其中：</w:t>
      </w:r>
    </w:p>
    <w:p w:rsidR="007B6D5F" w:rsidRDefault="00AB1304">
      <w:pPr>
        <w:rPr>
          <w:rFonts w:ascii="仿宋_GB2312" w:eastAsia="仿宋_GB2312"/>
          <w:sz w:val="32"/>
          <w:szCs w:val="32"/>
        </w:rPr>
      </w:pPr>
      <w:r>
        <w:rPr>
          <w:rFonts w:ascii="仿宋_GB2312" w:eastAsia="仿宋_GB2312"/>
          <w:sz w:val="32"/>
          <w:szCs w:val="32"/>
        </w:rPr>
        <w:t xml:space="preserve">   2070605出版发行支出3,055.39万元；</w:t>
      </w:r>
      <w:r>
        <w:rPr>
          <w:rFonts w:ascii="仿宋_GB2312" w:eastAsia="仿宋_GB2312"/>
          <w:sz w:val="32"/>
          <w:szCs w:val="32"/>
        </w:rPr>
        <w:br/>
        <w:t xml:space="preserve">   2080505机关事业单位基本养老保险缴费支出127.66万元；</w:t>
      </w:r>
      <w:r>
        <w:rPr>
          <w:rFonts w:ascii="仿宋_GB2312" w:eastAsia="仿宋_GB2312"/>
          <w:sz w:val="32"/>
          <w:szCs w:val="32"/>
        </w:rPr>
        <w:br/>
        <w:t xml:space="preserve">   2080506机关事业单位职业年金缴费支出13.09万元；</w:t>
      </w:r>
      <w:r>
        <w:rPr>
          <w:rFonts w:ascii="仿宋_GB2312" w:eastAsia="仿宋_GB2312"/>
          <w:sz w:val="32"/>
          <w:szCs w:val="32"/>
        </w:rPr>
        <w:br/>
        <w:t xml:space="preserve">   2210201住房公积金支出94.76万元；</w:t>
      </w:r>
      <w:r>
        <w:rPr>
          <w:rFonts w:ascii="仿宋_GB2312" w:eastAsia="仿宋_GB2312"/>
          <w:sz w:val="32"/>
          <w:szCs w:val="32"/>
        </w:rPr>
        <w:br/>
        <w:t xml:space="preserve">   2299901其他支出12万元。</w:t>
      </w:r>
    </w:p>
    <w:p w:rsidR="007B6D5F" w:rsidRDefault="00AB1304">
      <w:pPr>
        <w:ind w:firstLineChars="200" w:firstLine="640"/>
        <w:outlineLvl w:val="1"/>
        <w:rPr>
          <w:rFonts w:ascii="黑体" w:eastAsia="黑体" w:hAnsi="黑体" w:cs="宋体"/>
          <w:bCs/>
          <w:kern w:val="0"/>
          <w:sz w:val="32"/>
          <w:szCs w:val="32"/>
        </w:rPr>
      </w:pPr>
      <w:bookmarkStart w:id="19" w:name="_Toc11146"/>
      <w:bookmarkStart w:id="20" w:name="_Toc30870"/>
      <w:r>
        <w:rPr>
          <w:rFonts w:ascii="黑体" w:eastAsia="黑体" w:hAnsi="黑体" w:cs="宋体" w:hint="eastAsia"/>
          <w:bCs/>
          <w:kern w:val="0"/>
          <w:sz w:val="32"/>
          <w:szCs w:val="32"/>
        </w:rPr>
        <w:t>六、一般公共预算财政拨款基本支出决算情况说明</w:t>
      </w:r>
      <w:bookmarkEnd w:id="19"/>
      <w:bookmarkEnd w:id="20"/>
    </w:p>
    <w:p w:rsidR="007B6D5F" w:rsidRDefault="00AB1304">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年度一般公共预算财政拨款基本支出1,471.37万元，其中：</w:t>
      </w:r>
    </w:p>
    <w:p w:rsidR="007B6D5F" w:rsidRDefault="00AB1304">
      <w:pPr>
        <w:ind w:firstLineChars="200" w:firstLine="640"/>
        <w:rPr>
          <w:rFonts w:ascii="仿宋_GB2312" w:eastAsia="仿宋_GB2312"/>
          <w:sz w:val="32"/>
          <w:szCs w:val="32"/>
        </w:rPr>
      </w:pPr>
      <w:r>
        <w:rPr>
          <w:rFonts w:ascii="仿宋_GB2312" w:eastAsia="仿宋_GB2312" w:hint="eastAsia"/>
          <w:sz w:val="32"/>
          <w:szCs w:val="32"/>
        </w:rPr>
        <w:t>人员经费1,429.87万元，包括：基本工资、津贴补贴、奖金、绩效工资、机关事业单位基本养老保险缴费、职业年金缴费、职工基本医疗保险缴费、公务员医疗补助缴费、其他社会保障缴费、住房公积金、离休费、退休费、抚恤金、生活补助、奖励金、其他对个人和家庭的补助。</w:t>
      </w:r>
    </w:p>
    <w:p w:rsidR="007B6D5F" w:rsidRDefault="00AB1304">
      <w:pPr>
        <w:ind w:firstLineChars="200" w:firstLine="640"/>
        <w:rPr>
          <w:rFonts w:ascii="仿宋_GB2312" w:eastAsia="仿宋_GB2312"/>
          <w:sz w:val="32"/>
          <w:szCs w:val="32"/>
        </w:rPr>
      </w:pPr>
      <w:r>
        <w:rPr>
          <w:rFonts w:ascii="仿宋_GB2312" w:eastAsia="仿宋_GB2312" w:hint="eastAsia"/>
          <w:sz w:val="32"/>
          <w:szCs w:val="32"/>
        </w:rPr>
        <w:t>公用经费41.50万元，包括：办公费、手续费、水费、电费、邮电费、取暖费、差旅费、租赁费、劳务费、公务用车运行维护费、其他交通费用、其他商品和服务支出。</w:t>
      </w:r>
    </w:p>
    <w:p w:rsidR="007B6D5F" w:rsidRDefault="00AB1304">
      <w:pPr>
        <w:ind w:firstLineChars="200" w:firstLine="640"/>
        <w:outlineLvl w:val="1"/>
        <w:rPr>
          <w:rFonts w:ascii="黑体" w:eastAsia="黑体" w:hAnsi="黑体" w:cs="宋体"/>
          <w:bCs/>
          <w:kern w:val="0"/>
          <w:sz w:val="32"/>
          <w:szCs w:val="32"/>
        </w:rPr>
      </w:pPr>
      <w:bookmarkStart w:id="21" w:name="_Toc7190"/>
      <w:bookmarkStart w:id="22" w:name="_Toc21518"/>
      <w:r>
        <w:rPr>
          <w:rFonts w:ascii="黑体" w:eastAsia="黑体" w:hAnsi="黑体" w:cs="宋体" w:hint="eastAsia"/>
          <w:bCs/>
          <w:kern w:val="0"/>
          <w:sz w:val="32"/>
          <w:szCs w:val="32"/>
        </w:rPr>
        <w:t>七、一般公共预算财政拨款“三公”经费支出决算情况说明</w:t>
      </w:r>
      <w:bookmarkEnd w:id="21"/>
      <w:bookmarkEnd w:id="22"/>
    </w:p>
    <w:p w:rsidR="007B6D5F" w:rsidRDefault="00AB1304">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三公”经费支出决算2.43万元，比上年减少0.17万元，降低6.54%，主要原因是压缩支出，厉行节约。其中，因公出国（境）费支出0万元，占0%，比上年增加0万元，增长0%，主要原因是与上年相比无变动，与上年一致；公务用车购置及运行维护费支出2.43万元，占100%，比上年减少0.17万元，降低6.54%，主要原因是压缩支出，厉行节约；公务接待费支出0万元，占0%，比上年增加0万元，增长0%，主要原因是与上年相比无变动，与上年一致。具体情况如下：</w:t>
      </w:r>
    </w:p>
    <w:p w:rsidR="007B6D5F" w:rsidRDefault="00AB1304">
      <w:pPr>
        <w:ind w:firstLineChars="200" w:firstLine="640"/>
        <w:rPr>
          <w:rFonts w:ascii="仿宋_GB2312" w:eastAsia="仿宋_GB2312"/>
          <w:sz w:val="32"/>
          <w:szCs w:val="32"/>
        </w:rPr>
      </w:pPr>
      <w:r>
        <w:rPr>
          <w:rFonts w:ascii="仿宋_GB2312" w:eastAsia="仿宋_GB2312" w:hint="eastAsia"/>
          <w:sz w:val="32"/>
          <w:szCs w:val="32"/>
        </w:rPr>
        <w:t>因公出国（境）费支出0万元，开支内容包括：</w:t>
      </w:r>
      <w:r>
        <w:rPr>
          <w:rFonts w:ascii="仿宋_GB2312" w:eastAsia="仿宋_GB2312"/>
          <w:color w:val="000000" w:themeColor="text1"/>
          <w:sz w:val="32"/>
          <w:szCs w:val="32"/>
        </w:rPr>
        <w:t>预算未安排，无此项支出。</w:t>
      </w:r>
      <w:r>
        <w:rPr>
          <w:rFonts w:ascii="仿宋_GB2312" w:eastAsia="仿宋_GB2312" w:hint="eastAsia"/>
          <w:sz w:val="32"/>
          <w:szCs w:val="32"/>
        </w:rPr>
        <w:t>单位全年安排的因公出国（境）团组0个，因公出国（境）0人次。</w:t>
      </w:r>
    </w:p>
    <w:p w:rsidR="007B6D5F" w:rsidRDefault="00AB1304">
      <w:pPr>
        <w:ind w:firstLineChars="200" w:firstLine="640"/>
        <w:rPr>
          <w:rFonts w:ascii="仿宋_GB2312" w:eastAsia="仿宋_GB2312"/>
          <w:sz w:val="32"/>
          <w:szCs w:val="32"/>
        </w:rPr>
      </w:pPr>
      <w:r>
        <w:rPr>
          <w:rFonts w:ascii="仿宋_GB2312" w:eastAsia="仿宋_GB2312" w:hint="eastAsia"/>
          <w:sz w:val="32"/>
          <w:szCs w:val="32"/>
        </w:rPr>
        <w:t>公务用车购置及运行维护费2.43万元，其中，公务用车购置费0万元，公务用车运行维护费2.43万元。公务用车运行维护费开支内容包括车辆保险、车辆维修（维护）费、小车加油、车辆过路费、车辆年检费等。公务用车购置数0辆，公务用车保有量3辆。</w:t>
      </w:r>
    </w:p>
    <w:p w:rsidR="007B6D5F" w:rsidRDefault="00AB1304">
      <w:pPr>
        <w:ind w:firstLineChars="200" w:firstLine="640"/>
        <w:rPr>
          <w:rFonts w:ascii="仿宋_GB2312" w:eastAsia="仿宋_GB2312"/>
          <w:sz w:val="32"/>
          <w:szCs w:val="32"/>
        </w:rPr>
      </w:pPr>
      <w:r>
        <w:rPr>
          <w:rFonts w:ascii="仿宋_GB2312" w:eastAsia="仿宋_GB2312" w:hint="eastAsia"/>
          <w:sz w:val="32"/>
          <w:szCs w:val="32"/>
        </w:rPr>
        <w:t>公务接待费0万元，开支内容包括预算未安排，无此项支出。单位全年安排的国内公务接待0批次，0人次。</w:t>
      </w:r>
    </w:p>
    <w:p w:rsidR="007B6D5F" w:rsidRDefault="00AB1304">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w:t>
      </w:r>
      <w:r>
        <w:rPr>
          <w:rFonts w:ascii="仿宋_GB2312" w:eastAsia="仿宋_GB2312"/>
          <w:color w:val="000000" w:themeColor="text1"/>
          <w:sz w:val="32"/>
          <w:szCs w:val="32"/>
        </w:rPr>
        <w:t>2.60</w:t>
      </w:r>
      <w:r>
        <w:rPr>
          <w:rFonts w:ascii="仿宋_GB2312" w:eastAsia="仿宋_GB2312" w:hint="eastAsia"/>
          <w:sz w:val="32"/>
          <w:szCs w:val="32"/>
        </w:rPr>
        <w:t>万元，决算数</w:t>
      </w:r>
      <w:r>
        <w:rPr>
          <w:rFonts w:ascii="仿宋_GB2312" w:eastAsia="仿宋_GB2312" w:hint="eastAsia"/>
          <w:color w:val="000000" w:themeColor="text1"/>
          <w:sz w:val="32"/>
          <w:szCs w:val="32"/>
        </w:rPr>
        <w:t>2.43</w:t>
      </w:r>
      <w:r>
        <w:rPr>
          <w:rFonts w:ascii="仿宋_GB2312" w:eastAsia="仿宋_GB2312" w:hint="eastAsia"/>
          <w:sz w:val="32"/>
          <w:szCs w:val="32"/>
        </w:rPr>
        <w:t>万元</w:t>
      </w:r>
      <w:r>
        <w:rPr>
          <w:rFonts w:ascii="仿宋_GB2312" w:eastAsia="仿宋_GB2312"/>
          <w:color w:val="000000" w:themeColor="text1"/>
          <w:sz w:val="32"/>
          <w:szCs w:val="32"/>
        </w:rPr>
        <w:t>，预决算差异率-6.54%，主要原因是：压缩支出，厉行节约。</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w:t>
      </w:r>
      <w:r>
        <w:rPr>
          <w:rFonts w:ascii="仿宋_GB2312" w:eastAsia="仿宋_GB2312"/>
          <w:color w:val="000000" w:themeColor="text1"/>
          <w:sz w:val="32"/>
          <w:szCs w:val="32"/>
        </w:rPr>
        <w:t>0</w:t>
      </w:r>
      <w:r>
        <w:rPr>
          <w:rFonts w:ascii="仿宋_GB2312" w:eastAsia="仿宋_GB2312" w:hint="eastAsia"/>
          <w:sz w:val="32"/>
          <w:szCs w:val="32"/>
        </w:rPr>
        <w:t>万元，决算数</w:t>
      </w:r>
      <w:r>
        <w:rPr>
          <w:rFonts w:ascii="仿宋_GB2312" w:eastAsia="仿宋_GB2312" w:hint="eastAsia"/>
          <w:color w:val="000000" w:themeColor="text1"/>
          <w:sz w:val="32"/>
          <w:szCs w:val="32"/>
        </w:rPr>
        <w:t>0</w:t>
      </w:r>
      <w:r>
        <w:rPr>
          <w:rFonts w:ascii="仿宋_GB2312" w:eastAsia="仿宋_GB2312" w:hint="eastAsia"/>
          <w:sz w:val="32"/>
          <w:szCs w:val="32"/>
        </w:rPr>
        <w:t>万元</w:t>
      </w:r>
      <w:r>
        <w:rPr>
          <w:rFonts w:ascii="仿宋_GB2312" w:eastAsia="仿宋_GB2312"/>
          <w:color w:val="000000" w:themeColor="text1"/>
          <w:sz w:val="32"/>
          <w:szCs w:val="32"/>
        </w:rPr>
        <w:t>，预决算差异率0%，主要原因是：预算未安排，无此项支出；</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w:t>
      </w:r>
      <w:r>
        <w:rPr>
          <w:rFonts w:ascii="仿宋_GB2312" w:eastAsia="仿宋_GB2312"/>
          <w:color w:val="000000" w:themeColor="text1"/>
          <w:sz w:val="32"/>
          <w:szCs w:val="32"/>
        </w:rPr>
        <w:t>0</w:t>
      </w:r>
      <w:r>
        <w:rPr>
          <w:rFonts w:ascii="仿宋_GB2312" w:eastAsia="仿宋_GB2312" w:hint="eastAsia"/>
          <w:sz w:val="32"/>
          <w:szCs w:val="32"/>
        </w:rPr>
        <w:t>万元，决算数</w:t>
      </w:r>
      <w:r>
        <w:rPr>
          <w:rFonts w:ascii="仿宋_GB2312" w:eastAsia="仿宋_GB2312"/>
          <w:color w:val="000000" w:themeColor="text1"/>
          <w:sz w:val="32"/>
          <w:szCs w:val="32"/>
        </w:rPr>
        <w:t>0</w:t>
      </w:r>
      <w:r>
        <w:rPr>
          <w:rFonts w:ascii="仿宋_GB2312" w:eastAsia="仿宋_GB2312" w:hint="eastAsia"/>
          <w:sz w:val="32"/>
          <w:szCs w:val="32"/>
        </w:rPr>
        <w:t>万元</w:t>
      </w:r>
      <w:r>
        <w:rPr>
          <w:rFonts w:ascii="仿宋_GB2312" w:eastAsia="仿宋_GB2312"/>
          <w:color w:val="000000" w:themeColor="text1"/>
          <w:sz w:val="32"/>
          <w:szCs w:val="32"/>
        </w:rPr>
        <w:t>，预决算差异率0%，主要原因是：预算未安排，无此项支出；</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w:t>
      </w:r>
      <w:r>
        <w:rPr>
          <w:rFonts w:ascii="仿宋_GB2312" w:eastAsia="仿宋_GB2312"/>
          <w:color w:val="000000" w:themeColor="text1"/>
          <w:sz w:val="32"/>
          <w:szCs w:val="32"/>
        </w:rPr>
        <w:t>2.60</w:t>
      </w:r>
      <w:r>
        <w:rPr>
          <w:rFonts w:ascii="仿宋_GB2312" w:eastAsia="仿宋_GB2312" w:hint="eastAsia"/>
          <w:sz w:val="32"/>
          <w:szCs w:val="32"/>
        </w:rPr>
        <w:t>万元，决算数</w:t>
      </w:r>
      <w:r>
        <w:rPr>
          <w:rFonts w:ascii="仿宋_GB2312" w:eastAsia="仿宋_GB2312"/>
          <w:color w:val="000000" w:themeColor="text1"/>
          <w:sz w:val="32"/>
          <w:szCs w:val="32"/>
        </w:rPr>
        <w:t>2.43</w:t>
      </w:r>
      <w:r>
        <w:rPr>
          <w:rFonts w:ascii="仿宋_GB2312" w:eastAsia="仿宋_GB2312" w:hint="eastAsia"/>
          <w:sz w:val="32"/>
          <w:szCs w:val="32"/>
        </w:rPr>
        <w:t>万元</w:t>
      </w:r>
      <w:r>
        <w:rPr>
          <w:rFonts w:ascii="仿宋_GB2312" w:eastAsia="仿宋_GB2312"/>
          <w:color w:val="000000" w:themeColor="text1"/>
          <w:sz w:val="32"/>
          <w:szCs w:val="32"/>
        </w:rPr>
        <w:t>，预决算差异率-6.54%，主要原因是：压缩支出，厉行节约；</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Pr>
          <w:rFonts w:ascii="仿宋_GB2312" w:eastAsia="仿宋_GB2312"/>
          <w:color w:val="000000" w:themeColor="text1"/>
          <w:sz w:val="32"/>
          <w:szCs w:val="32"/>
        </w:rPr>
        <w:t>0</w:t>
      </w:r>
      <w:r>
        <w:rPr>
          <w:rFonts w:ascii="仿宋_GB2312" w:eastAsia="仿宋_GB2312" w:hint="eastAsia"/>
          <w:sz w:val="32"/>
          <w:szCs w:val="32"/>
        </w:rPr>
        <w:t>万元，决算数</w:t>
      </w:r>
      <w:r>
        <w:rPr>
          <w:rFonts w:ascii="仿宋_GB2312" w:eastAsia="仿宋_GB2312" w:hint="eastAsia"/>
          <w:color w:val="000000" w:themeColor="text1"/>
          <w:sz w:val="32"/>
          <w:szCs w:val="32"/>
        </w:rPr>
        <w:t>0</w:t>
      </w:r>
      <w:r>
        <w:rPr>
          <w:rFonts w:ascii="仿宋_GB2312" w:eastAsia="仿宋_GB2312" w:hint="eastAsia"/>
          <w:sz w:val="32"/>
          <w:szCs w:val="32"/>
        </w:rPr>
        <w:t>万元</w:t>
      </w:r>
      <w:r>
        <w:rPr>
          <w:rFonts w:ascii="仿宋_GB2312" w:eastAsia="仿宋_GB2312"/>
          <w:color w:val="000000" w:themeColor="text1"/>
          <w:sz w:val="32"/>
          <w:szCs w:val="32"/>
        </w:rPr>
        <w:t>，预决算差异率0%，主要原因是：预算未安排，无此项支出。</w:t>
      </w:r>
    </w:p>
    <w:p w:rsidR="007B6D5F" w:rsidRDefault="00AB1304">
      <w:pPr>
        <w:ind w:firstLineChars="200" w:firstLine="640"/>
        <w:outlineLvl w:val="1"/>
        <w:rPr>
          <w:rFonts w:ascii="黑体" w:eastAsia="黑体" w:hAnsi="黑体" w:cs="宋体"/>
          <w:bCs/>
          <w:kern w:val="0"/>
          <w:sz w:val="32"/>
          <w:szCs w:val="32"/>
        </w:rPr>
      </w:pPr>
      <w:bookmarkStart w:id="23" w:name="_Toc5810"/>
      <w:bookmarkStart w:id="24" w:name="_Toc7927"/>
      <w:r>
        <w:rPr>
          <w:rFonts w:ascii="黑体" w:eastAsia="黑体" w:hAnsi="黑体" w:cs="宋体" w:hint="eastAsia"/>
          <w:bCs/>
          <w:kern w:val="0"/>
          <w:sz w:val="32"/>
          <w:szCs w:val="32"/>
        </w:rPr>
        <w:t>八、政府性基金预算收入支出决算情况说明</w:t>
      </w:r>
      <w:bookmarkEnd w:id="23"/>
      <w:bookmarkEnd w:id="24"/>
    </w:p>
    <w:p w:rsidR="007B6D5F" w:rsidRDefault="00AB1304">
      <w:pPr>
        <w:ind w:firstLineChars="200" w:firstLine="640"/>
        <w:rPr>
          <w:rFonts w:ascii="仿宋_GB2312" w:eastAsia="仿宋_GB2312"/>
          <w:color w:val="000000" w:themeColor="text1"/>
          <w:sz w:val="32"/>
          <w:szCs w:val="32"/>
        </w:rPr>
      </w:pPr>
      <w:r>
        <w:rPr>
          <w:rFonts w:ascii="仿宋_GB2312" w:eastAsia="仿宋_GB2312"/>
          <w:color w:val="000000" w:themeColor="text1"/>
          <w:sz w:val="32"/>
          <w:szCs w:val="32"/>
        </w:rPr>
        <w:t>我单位本年度无政府性基金预算财政拨款收入支出，政府性基金预算财政拨款收入支出决算表为空表。</w:t>
      </w:r>
    </w:p>
    <w:p w:rsidR="007B6D5F" w:rsidRDefault="00AB1304">
      <w:pPr>
        <w:ind w:firstLineChars="200" w:firstLine="640"/>
        <w:outlineLvl w:val="1"/>
        <w:rPr>
          <w:rFonts w:ascii="黑体" w:eastAsia="黑体" w:hAnsi="黑体" w:cs="宋体"/>
          <w:bCs/>
          <w:kern w:val="0"/>
          <w:sz w:val="32"/>
          <w:szCs w:val="32"/>
        </w:rPr>
      </w:pPr>
      <w:bookmarkStart w:id="25" w:name="_Toc1235"/>
      <w:bookmarkStart w:id="26" w:name="_Toc7314"/>
      <w:r>
        <w:rPr>
          <w:rFonts w:ascii="黑体" w:eastAsia="黑体" w:hAnsi="黑体" w:cs="宋体" w:hint="eastAsia"/>
          <w:bCs/>
          <w:kern w:val="0"/>
          <w:sz w:val="32"/>
          <w:szCs w:val="32"/>
        </w:rPr>
        <w:t>九、其他重要事项的情况说明</w:t>
      </w:r>
      <w:bookmarkEnd w:id="25"/>
      <w:bookmarkEnd w:id="26"/>
    </w:p>
    <w:p w:rsidR="007B6D5F" w:rsidRDefault="00AB1304">
      <w:pPr>
        <w:ind w:firstLineChars="200" w:firstLine="640"/>
        <w:outlineLvl w:val="2"/>
        <w:rPr>
          <w:rFonts w:ascii="黑体" w:eastAsia="黑体" w:hAnsi="黑体"/>
          <w:sz w:val="32"/>
          <w:szCs w:val="32"/>
        </w:rPr>
      </w:pPr>
      <w:bookmarkStart w:id="27" w:name="_Toc14519"/>
      <w:bookmarkStart w:id="28" w:name="_Toc13105"/>
      <w:r>
        <w:rPr>
          <w:rFonts w:ascii="黑体" w:eastAsia="黑体" w:hAnsi="黑体" w:hint="eastAsia"/>
          <w:sz w:val="32"/>
          <w:szCs w:val="32"/>
        </w:rPr>
        <w:t>（一）机关运行经费支出情况</w:t>
      </w:r>
      <w:bookmarkEnd w:id="27"/>
      <w:bookmarkEnd w:id="28"/>
    </w:p>
    <w:p w:rsidR="007B6D5F" w:rsidRDefault="00AB1304">
      <w:pPr>
        <w:ind w:firstLineChars="200" w:firstLine="640"/>
        <w:rPr>
          <w:rFonts w:ascii="仿宋_GB2312" w:eastAsia="仿宋_GB2312"/>
          <w:sz w:val="32"/>
          <w:szCs w:val="32"/>
        </w:rPr>
      </w:pPr>
      <w:r>
        <w:rPr>
          <w:rFonts w:ascii="仿宋_GB2312" w:eastAsia="仿宋_GB2312" w:hint="eastAsia"/>
          <w:color w:val="000000" w:themeColor="text1"/>
          <w:sz w:val="32"/>
          <w:szCs w:val="32"/>
        </w:rPr>
        <w:t>新疆喀什日报社日常公用经费41.50万元，比上年增加7.63万元，增长22.53%，主要原因是2019年比2018年增加4人，基层工作经费增加。</w:t>
      </w:r>
    </w:p>
    <w:p w:rsidR="007B6D5F" w:rsidRDefault="00AB1304">
      <w:pPr>
        <w:ind w:firstLineChars="200" w:firstLine="640"/>
        <w:outlineLvl w:val="2"/>
        <w:rPr>
          <w:rFonts w:ascii="黑体" w:eastAsia="黑体" w:hAnsi="黑体"/>
          <w:sz w:val="32"/>
          <w:szCs w:val="32"/>
        </w:rPr>
      </w:pPr>
      <w:bookmarkStart w:id="29" w:name="_Toc26704"/>
      <w:bookmarkStart w:id="30" w:name="_Toc227"/>
      <w:r>
        <w:rPr>
          <w:rFonts w:ascii="黑体" w:eastAsia="黑体" w:hAnsi="黑体" w:hint="eastAsia"/>
          <w:sz w:val="32"/>
          <w:szCs w:val="32"/>
        </w:rPr>
        <w:t>（二）政府采购情况</w:t>
      </w:r>
      <w:bookmarkEnd w:id="29"/>
      <w:bookmarkEnd w:id="30"/>
    </w:p>
    <w:p w:rsidR="007B6D5F" w:rsidRDefault="00AB1304">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年度政府采购支出总额7.57万元，其中：政府采购货物支出6.40万元、政府采购工程支出0万元、政府采购服务支出1.17万元。</w:t>
      </w:r>
    </w:p>
    <w:p w:rsidR="007B6D5F" w:rsidRDefault="00AB1304">
      <w:pPr>
        <w:ind w:firstLineChars="200" w:firstLine="640"/>
        <w:rPr>
          <w:rFonts w:ascii="仿宋_GB2312" w:eastAsia="仿宋_GB2312"/>
          <w:sz w:val="32"/>
          <w:szCs w:val="32"/>
        </w:rPr>
      </w:pPr>
      <w:r>
        <w:rPr>
          <w:rFonts w:ascii="仿宋_GB2312" w:eastAsia="仿宋_GB2312" w:hint="eastAsia"/>
          <w:sz w:val="32"/>
          <w:szCs w:val="32"/>
        </w:rPr>
        <w:t>授予中小企业合同金额7.57万元，占政府采购支出总额的100%，其中：授予小微企业合同金额7.57万元，占政府采购支出总额的100%。</w:t>
      </w:r>
    </w:p>
    <w:p w:rsidR="007B6D5F" w:rsidRDefault="00AB1304">
      <w:pPr>
        <w:ind w:firstLineChars="200" w:firstLine="640"/>
        <w:outlineLvl w:val="2"/>
        <w:rPr>
          <w:rFonts w:ascii="黑体" w:eastAsia="黑体" w:hAnsi="黑体"/>
          <w:sz w:val="32"/>
          <w:szCs w:val="32"/>
        </w:rPr>
      </w:pPr>
      <w:bookmarkStart w:id="31" w:name="_Toc8391"/>
      <w:bookmarkStart w:id="32" w:name="_Toc4591"/>
      <w:r>
        <w:rPr>
          <w:rFonts w:ascii="黑体" w:eastAsia="黑体" w:hAnsi="黑体" w:hint="eastAsia"/>
          <w:sz w:val="32"/>
          <w:szCs w:val="32"/>
        </w:rPr>
        <w:t>（三）国有资产占用情况说明</w:t>
      </w:r>
      <w:bookmarkEnd w:id="31"/>
      <w:bookmarkEnd w:id="32"/>
    </w:p>
    <w:p w:rsidR="007B6D5F" w:rsidRDefault="00AB1304">
      <w:pPr>
        <w:ind w:firstLineChars="200"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sz w:val="32"/>
          <w:szCs w:val="32"/>
        </w:rPr>
        <w:t>2019</w:t>
      </w:r>
      <w:r>
        <w:rPr>
          <w:rFonts w:ascii="仿宋_GB2312" w:eastAsia="仿宋_GB2312" w:hint="eastAsia"/>
          <w:sz w:val="32"/>
          <w:szCs w:val="32"/>
        </w:rPr>
        <w:t>年12月31日，单位共有房屋4,851（平方米），价值136.64万元。车辆3辆，价值57.02万元，其中：副部（省）级及以上领导用车0辆、主要领导干部用车</w:t>
      </w:r>
      <w:r>
        <w:rPr>
          <w:rFonts w:ascii="仿宋_GB2312" w:eastAsia="仿宋_GB2312"/>
          <w:color w:val="000000" w:themeColor="text1"/>
          <w:sz w:val="32"/>
          <w:szCs w:val="32"/>
        </w:rPr>
        <w:t>0</w:t>
      </w:r>
      <w:r>
        <w:rPr>
          <w:rFonts w:ascii="仿宋_GB2312" w:eastAsia="仿宋_GB2312" w:hint="eastAsia"/>
          <w:sz w:val="32"/>
          <w:szCs w:val="32"/>
        </w:rPr>
        <w:t>辆、机要通信用车</w:t>
      </w:r>
      <w:r>
        <w:rPr>
          <w:rFonts w:ascii="仿宋_GB2312" w:eastAsia="仿宋_GB2312"/>
          <w:color w:val="000000" w:themeColor="text1"/>
          <w:sz w:val="32"/>
          <w:szCs w:val="32"/>
        </w:rPr>
        <w:t>0</w:t>
      </w:r>
      <w:r>
        <w:rPr>
          <w:rFonts w:ascii="仿宋_GB2312" w:eastAsia="仿宋_GB2312" w:hint="eastAsia"/>
          <w:sz w:val="32"/>
          <w:szCs w:val="32"/>
        </w:rPr>
        <w:t>辆、应急保障用车</w:t>
      </w:r>
      <w:r>
        <w:rPr>
          <w:rFonts w:ascii="仿宋_GB2312" w:eastAsia="仿宋_GB2312"/>
          <w:color w:val="000000" w:themeColor="text1"/>
          <w:sz w:val="32"/>
          <w:szCs w:val="32"/>
        </w:rPr>
        <w:t>0</w:t>
      </w:r>
      <w:r>
        <w:rPr>
          <w:rFonts w:ascii="仿宋_GB2312" w:eastAsia="仿宋_GB2312" w:hint="eastAsia"/>
          <w:sz w:val="32"/>
          <w:szCs w:val="32"/>
        </w:rPr>
        <w:t>辆、执法执勤用车0辆、特种专业技术用车0辆、离退休干部用车</w:t>
      </w:r>
      <w:r>
        <w:rPr>
          <w:rFonts w:ascii="仿宋_GB2312" w:eastAsia="仿宋_GB2312"/>
          <w:color w:val="000000" w:themeColor="text1"/>
          <w:sz w:val="32"/>
          <w:szCs w:val="32"/>
        </w:rPr>
        <w:t>0</w:t>
      </w:r>
      <w:r>
        <w:rPr>
          <w:rFonts w:ascii="仿宋_GB2312" w:eastAsia="仿宋_GB2312" w:hint="eastAsia"/>
          <w:sz w:val="32"/>
          <w:szCs w:val="32"/>
        </w:rPr>
        <w:t>辆、其他用车</w:t>
      </w:r>
      <w:r>
        <w:rPr>
          <w:rFonts w:ascii="仿宋_GB2312" w:eastAsia="仿宋_GB2312"/>
          <w:color w:val="000000" w:themeColor="text1"/>
          <w:sz w:val="32"/>
          <w:szCs w:val="32"/>
        </w:rPr>
        <w:t>3</w:t>
      </w:r>
      <w:r>
        <w:rPr>
          <w:rFonts w:ascii="仿宋_GB2312" w:eastAsia="仿宋_GB2312" w:hint="eastAsia"/>
          <w:sz w:val="32"/>
          <w:szCs w:val="32"/>
        </w:rPr>
        <w:t>辆，其他用车主要是：</w:t>
      </w:r>
      <w:r>
        <w:rPr>
          <w:rFonts w:ascii="仿宋_GB2312" w:eastAsia="仿宋_GB2312"/>
          <w:color w:val="000000" w:themeColor="text1"/>
          <w:sz w:val="32"/>
          <w:szCs w:val="32"/>
        </w:rPr>
        <w:t>单位</w:t>
      </w:r>
      <w:r>
        <w:rPr>
          <w:rFonts w:ascii="仿宋_GB2312" w:eastAsia="仿宋_GB2312" w:hint="eastAsia"/>
          <w:color w:val="000000" w:themeColor="text1"/>
          <w:sz w:val="32"/>
          <w:szCs w:val="32"/>
        </w:rPr>
        <w:t>一般公务</w:t>
      </w:r>
      <w:r>
        <w:rPr>
          <w:rFonts w:ascii="仿宋_GB2312" w:eastAsia="仿宋_GB2312"/>
          <w:color w:val="000000" w:themeColor="text1"/>
          <w:sz w:val="32"/>
          <w:szCs w:val="32"/>
        </w:rPr>
        <w:t>用车；</w:t>
      </w:r>
      <w:r>
        <w:rPr>
          <w:rFonts w:ascii="仿宋_GB2312" w:eastAsia="仿宋_GB2312" w:hint="eastAsia"/>
          <w:sz w:val="32"/>
          <w:szCs w:val="32"/>
        </w:rPr>
        <w:t>单位价值50万元以上通用设备1台（套）、单位价值100万元以上专用设备2台（套）。</w:t>
      </w:r>
    </w:p>
    <w:p w:rsidR="007B6D5F" w:rsidRDefault="00AB1304">
      <w:pPr>
        <w:ind w:firstLineChars="200" w:firstLine="640"/>
        <w:outlineLvl w:val="1"/>
        <w:rPr>
          <w:rFonts w:ascii="黑体" w:eastAsia="黑体" w:hAnsi="黑体" w:cs="宋体"/>
          <w:bCs/>
          <w:kern w:val="0"/>
          <w:sz w:val="32"/>
          <w:szCs w:val="32"/>
        </w:rPr>
      </w:pPr>
      <w:bookmarkStart w:id="33" w:name="_Toc11283"/>
      <w:bookmarkStart w:id="34" w:name="_Toc435"/>
      <w:r>
        <w:rPr>
          <w:rFonts w:ascii="黑体" w:eastAsia="黑体" w:hAnsi="黑体" w:cs="宋体" w:hint="eastAsia"/>
          <w:bCs/>
          <w:kern w:val="0"/>
          <w:sz w:val="32"/>
          <w:szCs w:val="32"/>
        </w:rPr>
        <w:t>十、预算绩效的情况说明</w:t>
      </w:r>
      <w:bookmarkEnd w:id="33"/>
      <w:bookmarkEnd w:id="34"/>
    </w:p>
    <w:p w:rsidR="007B6D5F" w:rsidRDefault="00AB1304">
      <w:pPr>
        <w:ind w:firstLineChars="200" w:firstLine="640"/>
        <w:rPr>
          <w:rFonts w:ascii="仿宋_GB2312" w:eastAsia="仿宋_GB2312"/>
          <w:sz w:val="32"/>
          <w:szCs w:val="32"/>
        </w:rPr>
      </w:pPr>
      <w:r>
        <w:rPr>
          <w:rFonts w:ascii="仿宋_GB2312" w:eastAsia="仿宋_GB2312" w:hint="eastAsia"/>
          <w:sz w:val="32"/>
          <w:szCs w:val="32"/>
        </w:rPr>
        <w:t>根据预算绩效管理要求，我单位2019年度开展预算绩效评价项目7个，共涉及资金1831.52万元万元。预算绩效管理取得的成效：一是经济性评价：部门年度任务是在预算资金额度内完成，并通过规范的招投标及严格的资金管理及项目管理及其他创新的管理措施实现了资金的节约。三公经费是在预算范围内开支，开支范围较上年的变化，有节约；二是效率性评价：各项工作计划是按预期计划按时完成，效益是按预期时间产生；三是效益性评价：预期的经济效益、社会效益、可持续的影响是产生，相关人员的满意度达到预期目标。发现的问题及原因：一是通过预算绩效管理，发现了工作中存在的不足，前期资金使用因原因未按期支付，导致了资金滞缓，影响了项目的进度，我给亲戚送党报项目资料有待进一步完善；二是行业管理还比较粗放；三是财务制度执行力有待加强，资金使用计划有待细化；四是财政预算资金到位比较迟缓，各项目经费支付不能及时到位。下一步改进措施：一是继续从严控制出国(境)经费、车辆购置及运行费、公务接待费等一般性支出；二是加强财务管理，严格财务审核。在费用报账支付时，按照预算规定的费用项目和用途进行资金使用审核、列报支付、财务核算，杜绝超支现象的发生；三是加强项目开展进度的跟踪，开展项目绩效评价，确保项目绩效目标的完成；四是年初做好资金计划，按照项目进度及时拨付资金，使资金使用效益最大化，减少不必要的浪费，节约成本；五是报纸印刷项目后续管理有待进一步加强，督促制定资金预算，确保按预算支付专款专用。具体项目自评情况附项目支出绩效自评表。</w:t>
      </w:r>
    </w:p>
    <w:p w:rsidR="007B6D5F" w:rsidRDefault="00AB1304">
      <w:pPr>
        <w:ind w:firstLineChars="200" w:firstLine="640"/>
        <w:jc w:val="center"/>
        <w:outlineLvl w:val="0"/>
        <w:rPr>
          <w:rFonts w:ascii="黑体" w:eastAsia="黑体" w:hAnsi="黑体"/>
          <w:sz w:val="32"/>
          <w:szCs w:val="32"/>
        </w:rPr>
      </w:pPr>
      <w:bookmarkStart w:id="35" w:name="_Toc3250"/>
      <w:bookmarkStart w:id="36" w:name="_Toc24143"/>
      <w:r>
        <w:rPr>
          <w:rFonts w:ascii="黑体" w:eastAsia="黑体" w:hAnsi="黑体" w:hint="eastAsia"/>
          <w:sz w:val="32"/>
          <w:szCs w:val="32"/>
        </w:rPr>
        <w:t>第三部分 专业名词解释</w:t>
      </w:r>
      <w:bookmarkEnd w:id="35"/>
      <w:bookmarkEnd w:id="36"/>
    </w:p>
    <w:p w:rsidR="007B6D5F" w:rsidRDefault="00AB1304">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7B6D5F" w:rsidRDefault="00AB1304">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7B6D5F" w:rsidRDefault="00AB1304">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7B6D5F" w:rsidRDefault="00AB1304">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7B6D5F" w:rsidRDefault="00AB1304">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7B6D5F" w:rsidRDefault="00AB1304">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7B6D5F" w:rsidRDefault="00AB1304">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7B6D5F" w:rsidRDefault="00AB1304">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7B6D5F" w:rsidRDefault="00AB1304">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7B6D5F" w:rsidRDefault="00AB1304">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7B6D5F" w:rsidRDefault="00AB1304">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7B6D5F" w:rsidRDefault="00AB1304">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7B6D5F" w:rsidRDefault="00AB1304">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7B6D5F" w:rsidRDefault="00AB1304">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7B6D5F" w:rsidRDefault="00AB1304">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7B6D5F" w:rsidRDefault="00AB1304">
      <w:pPr>
        <w:ind w:firstLineChars="200" w:firstLine="640"/>
        <w:jc w:val="center"/>
        <w:outlineLvl w:val="0"/>
        <w:rPr>
          <w:rFonts w:ascii="黑体" w:eastAsia="黑体" w:hAnsi="黑体"/>
          <w:sz w:val="32"/>
          <w:szCs w:val="32"/>
        </w:rPr>
      </w:pPr>
      <w:bookmarkStart w:id="37" w:name="_Toc22784"/>
      <w:bookmarkStart w:id="38" w:name="_Toc28903"/>
      <w:r>
        <w:rPr>
          <w:rFonts w:ascii="黑体" w:eastAsia="黑体" w:hAnsi="黑体" w:hint="eastAsia"/>
          <w:sz w:val="32"/>
          <w:szCs w:val="32"/>
        </w:rPr>
        <w:t>第四部分 部门决算报表（见附表）</w:t>
      </w:r>
      <w:bookmarkEnd w:id="37"/>
      <w:bookmarkEnd w:id="38"/>
    </w:p>
    <w:p w:rsidR="007B6D5F" w:rsidRDefault="00AB1304">
      <w:pPr>
        <w:ind w:firstLineChars="200" w:firstLine="640"/>
        <w:outlineLvl w:val="1"/>
        <w:rPr>
          <w:rFonts w:ascii="黑体" w:eastAsia="黑体" w:hAnsi="黑体" w:cs="宋体"/>
          <w:bCs/>
          <w:kern w:val="0"/>
          <w:sz w:val="32"/>
          <w:szCs w:val="32"/>
        </w:rPr>
      </w:pPr>
      <w:bookmarkStart w:id="39" w:name="_Toc2183"/>
      <w:bookmarkStart w:id="40" w:name="_Toc6062"/>
      <w:r>
        <w:rPr>
          <w:rFonts w:ascii="黑体" w:eastAsia="黑体" w:hAnsi="黑体" w:cs="宋体" w:hint="eastAsia"/>
          <w:bCs/>
          <w:kern w:val="0"/>
          <w:sz w:val="32"/>
          <w:szCs w:val="32"/>
        </w:rPr>
        <w:t>一、《收入支出决算总表》</w:t>
      </w:r>
      <w:bookmarkEnd w:id="39"/>
      <w:bookmarkEnd w:id="40"/>
    </w:p>
    <w:p w:rsidR="007B6D5F" w:rsidRDefault="00AB1304">
      <w:pPr>
        <w:ind w:firstLineChars="200" w:firstLine="640"/>
        <w:outlineLvl w:val="1"/>
        <w:rPr>
          <w:rFonts w:ascii="黑体" w:eastAsia="黑体" w:hAnsi="黑体" w:cs="宋体"/>
          <w:bCs/>
          <w:kern w:val="0"/>
          <w:sz w:val="32"/>
          <w:szCs w:val="32"/>
        </w:rPr>
      </w:pPr>
      <w:bookmarkStart w:id="41" w:name="_Toc24532"/>
      <w:bookmarkStart w:id="42" w:name="_Toc30364"/>
      <w:r>
        <w:rPr>
          <w:rFonts w:ascii="黑体" w:eastAsia="黑体" w:hAnsi="黑体" w:cs="宋体" w:hint="eastAsia"/>
          <w:bCs/>
          <w:kern w:val="0"/>
          <w:sz w:val="32"/>
          <w:szCs w:val="32"/>
        </w:rPr>
        <w:t>二、《收入决算表》</w:t>
      </w:r>
      <w:bookmarkEnd w:id="41"/>
      <w:bookmarkEnd w:id="42"/>
    </w:p>
    <w:p w:rsidR="007B6D5F" w:rsidRDefault="00AB1304">
      <w:pPr>
        <w:ind w:firstLineChars="200" w:firstLine="640"/>
        <w:outlineLvl w:val="1"/>
        <w:rPr>
          <w:rFonts w:ascii="黑体" w:eastAsia="黑体" w:hAnsi="黑体" w:cs="宋体"/>
          <w:bCs/>
          <w:kern w:val="0"/>
          <w:sz w:val="32"/>
          <w:szCs w:val="32"/>
        </w:rPr>
      </w:pPr>
      <w:bookmarkStart w:id="43" w:name="_Toc32434"/>
      <w:bookmarkStart w:id="44" w:name="_Toc21304"/>
      <w:r>
        <w:rPr>
          <w:rFonts w:ascii="黑体" w:eastAsia="黑体" w:hAnsi="黑体" w:cs="宋体" w:hint="eastAsia"/>
          <w:bCs/>
          <w:kern w:val="0"/>
          <w:sz w:val="32"/>
          <w:szCs w:val="32"/>
        </w:rPr>
        <w:t>三、《支出决算表》</w:t>
      </w:r>
      <w:bookmarkEnd w:id="43"/>
      <w:bookmarkEnd w:id="44"/>
    </w:p>
    <w:p w:rsidR="007B6D5F" w:rsidRDefault="00AB1304">
      <w:pPr>
        <w:ind w:firstLineChars="200" w:firstLine="640"/>
        <w:outlineLvl w:val="1"/>
        <w:rPr>
          <w:rFonts w:ascii="黑体" w:eastAsia="黑体" w:hAnsi="黑体" w:cs="宋体"/>
          <w:bCs/>
          <w:kern w:val="0"/>
          <w:sz w:val="32"/>
          <w:szCs w:val="32"/>
        </w:rPr>
      </w:pPr>
      <w:bookmarkStart w:id="45" w:name="_Toc28786"/>
      <w:bookmarkStart w:id="46" w:name="_Toc14238"/>
      <w:r>
        <w:rPr>
          <w:rFonts w:ascii="黑体" w:eastAsia="黑体" w:hAnsi="黑体" w:cs="宋体" w:hint="eastAsia"/>
          <w:bCs/>
          <w:kern w:val="0"/>
          <w:sz w:val="32"/>
          <w:szCs w:val="32"/>
        </w:rPr>
        <w:t>四、《财政拨款收入支出决算总表》</w:t>
      </w:r>
      <w:bookmarkEnd w:id="45"/>
      <w:bookmarkEnd w:id="46"/>
    </w:p>
    <w:p w:rsidR="007B6D5F" w:rsidRDefault="00AB1304">
      <w:pPr>
        <w:ind w:firstLineChars="200" w:firstLine="640"/>
        <w:outlineLvl w:val="1"/>
        <w:rPr>
          <w:rFonts w:ascii="黑体" w:eastAsia="黑体" w:hAnsi="黑体" w:cs="宋体"/>
          <w:bCs/>
          <w:kern w:val="0"/>
          <w:sz w:val="32"/>
          <w:szCs w:val="32"/>
        </w:rPr>
      </w:pPr>
      <w:bookmarkStart w:id="47" w:name="_Toc10347"/>
      <w:bookmarkStart w:id="48" w:name="_Toc14869"/>
      <w:r>
        <w:rPr>
          <w:rFonts w:ascii="黑体" w:eastAsia="黑体" w:hAnsi="黑体" w:cs="宋体" w:hint="eastAsia"/>
          <w:bCs/>
          <w:kern w:val="0"/>
          <w:sz w:val="32"/>
          <w:szCs w:val="32"/>
        </w:rPr>
        <w:t>五、《一般公共预算财政拨款支出决算表》</w:t>
      </w:r>
      <w:bookmarkEnd w:id="47"/>
      <w:bookmarkEnd w:id="48"/>
    </w:p>
    <w:p w:rsidR="007B6D5F" w:rsidRDefault="00AB1304">
      <w:pPr>
        <w:ind w:firstLineChars="200" w:firstLine="640"/>
        <w:outlineLvl w:val="1"/>
        <w:rPr>
          <w:rFonts w:ascii="黑体" w:eastAsia="黑体" w:hAnsi="黑体" w:cs="宋体"/>
          <w:bCs/>
          <w:kern w:val="0"/>
          <w:sz w:val="32"/>
          <w:szCs w:val="32"/>
        </w:rPr>
      </w:pPr>
      <w:bookmarkStart w:id="49" w:name="_Toc8884"/>
      <w:bookmarkStart w:id="50" w:name="_Toc5626"/>
      <w:r>
        <w:rPr>
          <w:rFonts w:ascii="黑体" w:eastAsia="黑体" w:hAnsi="黑体" w:cs="宋体" w:hint="eastAsia"/>
          <w:bCs/>
          <w:kern w:val="0"/>
          <w:sz w:val="32"/>
          <w:szCs w:val="32"/>
        </w:rPr>
        <w:t>六、《一般公共预算财政拨款基本支出决算表》</w:t>
      </w:r>
      <w:bookmarkEnd w:id="49"/>
      <w:bookmarkEnd w:id="50"/>
    </w:p>
    <w:p w:rsidR="007B6D5F" w:rsidRDefault="00AB1304">
      <w:pPr>
        <w:ind w:firstLineChars="200" w:firstLine="640"/>
        <w:outlineLvl w:val="1"/>
        <w:rPr>
          <w:rFonts w:ascii="黑体" w:eastAsia="黑体" w:hAnsi="黑体" w:cs="宋体"/>
          <w:bCs/>
          <w:kern w:val="0"/>
          <w:sz w:val="32"/>
          <w:szCs w:val="32"/>
        </w:rPr>
      </w:pPr>
      <w:bookmarkStart w:id="51" w:name="_Toc29106"/>
      <w:bookmarkStart w:id="52" w:name="_Toc32663"/>
      <w:r>
        <w:rPr>
          <w:rFonts w:ascii="黑体" w:eastAsia="黑体" w:hAnsi="黑体" w:cs="宋体" w:hint="eastAsia"/>
          <w:bCs/>
          <w:kern w:val="0"/>
          <w:sz w:val="32"/>
          <w:szCs w:val="32"/>
        </w:rPr>
        <w:t>七、《一般公共预算财政拨款“三公”经费支出决算表》</w:t>
      </w:r>
      <w:bookmarkEnd w:id="51"/>
      <w:bookmarkEnd w:id="52"/>
    </w:p>
    <w:p w:rsidR="007B6D5F" w:rsidRDefault="00AB1304">
      <w:pPr>
        <w:ind w:firstLineChars="200" w:firstLine="640"/>
        <w:outlineLvl w:val="1"/>
        <w:rPr>
          <w:rFonts w:ascii="黑体" w:eastAsia="黑体" w:hAnsi="黑体" w:cs="宋体"/>
          <w:bCs/>
          <w:kern w:val="0"/>
          <w:sz w:val="32"/>
          <w:szCs w:val="32"/>
        </w:rPr>
      </w:pPr>
      <w:bookmarkStart w:id="53" w:name="_Toc5453"/>
      <w:bookmarkStart w:id="54" w:name="_Toc7643"/>
      <w:r>
        <w:rPr>
          <w:rFonts w:ascii="黑体" w:eastAsia="黑体" w:hAnsi="黑体" w:cs="宋体" w:hint="eastAsia"/>
          <w:bCs/>
          <w:kern w:val="0"/>
          <w:sz w:val="32"/>
          <w:szCs w:val="32"/>
        </w:rPr>
        <w:t>八、《政府性基金预算财政拨款收入支出决算表》</w:t>
      </w:r>
      <w:bookmarkEnd w:id="53"/>
      <w:bookmarkEnd w:id="54"/>
    </w:p>
    <w:sectPr w:rsidR="007B6D5F" w:rsidSect="007B6D5F">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CA2" w:rsidRDefault="00854CA2" w:rsidP="007B6D5F">
      <w:r>
        <w:separator/>
      </w:r>
    </w:p>
  </w:endnote>
  <w:endnote w:type="continuationSeparator" w:id="0">
    <w:p w:rsidR="00854CA2" w:rsidRDefault="00854CA2" w:rsidP="007B6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宋体"/>
    <w:charset w:val="86"/>
    <w:family w:val="script"/>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等线 Light">
    <w:altName w:val="宋体"/>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290" w:rsidRDefault="002A729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D5F" w:rsidRDefault="00854CA2">
    <w:pPr>
      <w:pStyle w:val="a4"/>
    </w:pPr>
    <w:r>
      <w:pict>
        <v:shapetype id="_x0000_t202" coordsize="21600,21600" o:spt="202" path="m,l,21600r21600,l21600,xe">
          <v:stroke joinstyle="miter"/>
          <v:path gradientshapeok="t" o:connecttype="rect"/>
        </v:shapetype>
        <v:shape id="_x0000_s2050" type="#_x0000_t202" style="position:absolute;margin-left:0;margin-top:0;width:2in;height:2in;z-index:251658240;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filled="f" stroked="f">
          <v:textbox style="mso-fit-shape-to-text:t" inset="0,0,0,0">
            <w:txbxContent>
              <w:p w:rsidR="007B6D5F" w:rsidRDefault="00093090">
                <w:pPr>
                  <w:pStyle w:val="a4"/>
                </w:pPr>
                <w:r>
                  <w:rPr>
                    <w:rFonts w:hint="eastAsia"/>
                  </w:rPr>
                  <w:fldChar w:fldCharType="begin"/>
                </w:r>
                <w:r w:rsidR="00AB1304">
                  <w:rPr>
                    <w:rFonts w:hint="eastAsia"/>
                  </w:rPr>
                  <w:instrText xml:space="preserve"> PAGE  \* MERGEFORMAT </w:instrText>
                </w:r>
                <w:r>
                  <w:rPr>
                    <w:rFonts w:hint="eastAsia"/>
                  </w:rPr>
                  <w:fldChar w:fldCharType="separate"/>
                </w:r>
                <w:r w:rsidR="002A7290">
                  <w:rPr>
                    <w:noProof/>
                  </w:rPr>
                  <w:t>1</w:t>
                </w:r>
                <w:r>
                  <w:rPr>
                    <w:rFonts w:hint="eastAsia"/>
                  </w:rPr>
                  <w:fldChar w:fldCharType="end"/>
                </w:r>
              </w:p>
            </w:txbxContent>
          </v:textbox>
          <w10:wrap anchorx="margin"/>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290" w:rsidRDefault="002A729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CA2" w:rsidRDefault="00854CA2" w:rsidP="007B6D5F">
      <w:r>
        <w:separator/>
      </w:r>
    </w:p>
  </w:footnote>
  <w:footnote w:type="continuationSeparator" w:id="0">
    <w:p w:rsidR="00854CA2" w:rsidRDefault="00854CA2" w:rsidP="007B6D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290" w:rsidRDefault="002A729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290" w:rsidRDefault="002A7290">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290" w:rsidRDefault="002A7290">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bordersDoNotSurroundFooter/>
  <w:proofState w:spelling="clean" w:grammar="clean"/>
  <w:documentProtection w:edit="comments" w:enforcement="1" w:cryptProviderType="rsaFull" w:cryptAlgorithmClass="hash" w:cryptAlgorithmType="typeAny" w:cryptAlgorithmSid="4" w:cryptSpinCount="100000" w:hash="hnrMvB8yfqXyt4ataz/sxQlvYEA=" w:salt="LAojPns9ScilIj0zt6Jigg=="/>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C6E66"/>
    <w:rsid w:val="000033EF"/>
    <w:rsid w:val="00004533"/>
    <w:rsid w:val="000047AE"/>
    <w:rsid w:val="00005A21"/>
    <w:rsid w:val="0004063C"/>
    <w:rsid w:val="000701A7"/>
    <w:rsid w:val="00082456"/>
    <w:rsid w:val="00093090"/>
    <w:rsid w:val="000A663A"/>
    <w:rsid w:val="000B57B8"/>
    <w:rsid w:val="000F01B7"/>
    <w:rsid w:val="000F6705"/>
    <w:rsid w:val="001128A8"/>
    <w:rsid w:val="001130AE"/>
    <w:rsid w:val="001237CF"/>
    <w:rsid w:val="00125A6F"/>
    <w:rsid w:val="0014029C"/>
    <w:rsid w:val="00146FA3"/>
    <w:rsid w:val="00162E66"/>
    <w:rsid w:val="00164F09"/>
    <w:rsid w:val="001826D1"/>
    <w:rsid w:val="001848EE"/>
    <w:rsid w:val="00186B3B"/>
    <w:rsid w:val="001C0B85"/>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9171A"/>
    <w:rsid w:val="00292B7F"/>
    <w:rsid w:val="002A7290"/>
    <w:rsid w:val="002B072F"/>
    <w:rsid w:val="002B37DA"/>
    <w:rsid w:val="002B7A04"/>
    <w:rsid w:val="002D187F"/>
    <w:rsid w:val="002F1732"/>
    <w:rsid w:val="00327986"/>
    <w:rsid w:val="003314E6"/>
    <w:rsid w:val="00340AE7"/>
    <w:rsid w:val="00354737"/>
    <w:rsid w:val="0037159F"/>
    <w:rsid w:val="00377EC6"/>
    <w:rsid w:val="003920B8"/>
    <w:rsid w:val="00395B47"/>
    <w:rsid w:val="003A44F0"/>
    <w:rsid w:val="003C3EF4"/>
    <w:rsid w:val="003D1DD1"/>
    <w:rsid w:val="003E5F70"/>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B6D5F"/>
    <w:rsid w:val="007E2E4F"/>
    <w:rsid w:val="007E3BFD"/>
    <w:rsid w:val="00803D42"/>
    <w:rsid w:val="00807B4B"/>
    <w:rsid w:val="008144CF"/>
    <w:rsid w:val="00827663"/>
    <w:rsid w:val="00847CE1"/>
    <w:rsid w:val="00852D88"/>
    <w:rsid w:val="00854CA2"/>
    <w:rsid w:val="00857132"/>
    <w:rsid w:val="00862395"/>
    <w:rsid w:val="008853A8"/>
    <w:rsid w:val="00887778"/>
    <w:rsid w:val="008D5B57"/>
    <w:rsid w:val="008E67A9"/>
    <w:rsid w:val="008F7D99"/>
    <w:rsid w:val="00922FA7"/>
    <w:rsid w:val="00927301"/>
    <w:rsid w:val="009351E1"/>
    <w:rsid w:val="0094423A"/>
    <w:rsid w:val="00963E2E"/>
    <w:rsid w:val="009774AD"/>
    <w:rsid w:val="00980F6F"/>
    <w:rsid w:val="009A173F"/>
    <w:rsid w:val="009C479E"/>
    <w:rsid w:val="009F4245"/>
    <w:rsid w:val="009F594D"/>
    <w:rsid w:val="00A009B3"/>
    <w:rsid w:val="00A239E7"/>
    <w:rsid w:val="00A34EDA"/>
    <w:rsid w:val="00A7376E"/>
    <w:rsid w:val="00AA13D0"/>
    <w:rsid w:val="00AB1304"/>
    <w:rsid w:val="00AC0B18"/>
    <w:rsid w:val="00AC1D87"/>
    <w:rsid w:val="00AE136F"/>
    <w:rsid w:val="00AE6C82"/>
    <w:rsid w:val="00AE7A56"/>
    <w:rsid w:val="00AF0871"/>
    <w:rsid w:val="00AF530E"/>
    <w:rsid w:val="00AF5DFE"/>
    <w:rsid w:val="00B006E5"/>
    <w:rsid w:val="00B13535"/>
    <w:rsid w:val="00B24234"/>
    <w:rsid w:val="00B3219F"/>
    <w:rsid w:val="00B51D57"/>
    <w:rsid w:val="00B544B6"/>
    <w:rsid w:val="00B64D13"/>
    <w:rsid w:val="00B76725"/>
    <w:rsid w:val="00BC38D2"/>
    <w:rsid w:val="00BC65E4"/>
    <w:rsid w:val="00BE0A9F"/>
    <w:rsid w:val="00C01003"/>
    <w:rsid w:val="00C87860"/>
    <w:rsid w:val="00C92609"/>
    <w:rsid w:val="00C974A0"/>
    <w:rsid w:val="00CA0969"/>
    <w:rsid w:val="00CB7A14"/>
    <w:rsid w:val="00CD1E0A"/>
    <w:rsid w:val="00CD44C9"/>
    <w:rsid w:val="00CE40E2"/>
    <w:rsid w:val="00CE4AEB"/>
    <w:rsid w:val="00CE74CB"/>
    <w:rsid w:val="00D00B68"/>
    <w:rsid w:val="00D04E19"/>
    <w:rsid w:val="00D6644C"/>
    <w:rsid w:val="00D71F68"/>
    <w:rsid w:val="00D767F4"/>
    <w:rsid w:val="00DA07A0"/>
    <w:rsid w:val="00DB6F81"/>
    <w:rsid w:val="00DC1313"/>
    <w:rsid w:val="00DD3B82"/>
    <w:rsid w:val="00E43F43"/>
    <w:rsid w:val="00ED39D1"/>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49BB34D5"/>
    <w:rsid w:val="50DB5F45"/>
    <w:rsid w:val="69AD798C"/>
    <w:rsid w:val="6B68175F"/>
    <w:rsid w:val="73FB6630"/>
    <w:rsid w:val="77ED6F44"/>
    <w:rsid w:val="79FB0DE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6D5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7B6D5F"/>
    <w:pPr>
      <w:jc w:val="left"/>
    </w:pPr>
  </w:style>
  <w:style w:type="paragraph" w:styleId="3">
    <w:name w:val="toc 3"/>
    <w:basedOn w:val="a"/>
    <w:next w:val="a"/>
    <w:rsid w:val="007B6D5F"/>
    <w:pPr>
      <w:ind w:leftChars="400" w:left="840"/>
    </w:pPr>
  </w:style>
  <w:style w:type="paragraph" w:styleId="a4">
    <w:name w:val="footer"/>
    <w:basedOn w:val="a"/>
    <w:qFormat/>
    <w:rsid w:val="007B6D5F"/>
    <w:pPr>
      <w:tabs>
        <w:tab w:val="center" w:pos="4153"/>
        <w:tab w:val="right" w:pos="8306"/>
      </w:tabs>
      <w:snapToGrid w:val="0"/>
      <w:jc w:val="left"/>
    </w:pPr>
    <w:rPr>
      <w:sz w:val="18"/>
    </w:rPr>
  </w:style>
  <w:style w:type="paragraph" w:styleId="a5">
    <w:name w:val="header"/>
    <w:basedOn w:val="a"/>
    <w:rsid w:val="007B6D5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rsid w:val="007B6D5F"/>
  </w:style>
  <w:style w:type="paragraph" w:styleId="2">
    <w:name w:val="toc 2"/>
    <w:basedOn w:val="a"/>
    <w:next w:val="a"/>
    <w:rsid w:val="007B6D5F"/>
    <w:pPr>
      <w:ind w:leftChars="200" w:left="420"/>
    </w:pPr>
  </w:style>
  <w:style w:type="paragraph" w:customStyle="1" w:styleId="WPSOffice3">
    <w:name w:val="WPSOffice手动目录 3"/>
    <w:qFormat/>
    <w:rsid w:val="007B6D5F"/>
    <w:pPr>
      <w:ind w:leftChars="400" w:left="400"/>
    </w:pPr>
  </w:style>
  <w:style w:type="paragraph" w:customStyle="1" w:styleId="WPSOffice2">
    <w:name w:val="WPSOffice手动目录 2"/>
    <w:qFormat/>
    <w:rsid w:val="007B6D5F"/>
    <w:pPr>
      <w:ind w:leftChars="200" w:left="200"/>
    </w:pPr>
  </w:style>
  <w:style w:type="paragraph" w:customStyle="1" w:styleId="WPSOffice1">
    <w:name w:val="WPSOffice手动目录 1"/>
    <w:qFormat/>
    <w:rsid w:val="007B6D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494B56-21C8-4DF9-867A-A3A9F932C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957</Words>
  <Characters>5460</Characters>
  <Application>Microsoft Office Word</Application>
  <DocSecurity>8</DocSecurity>
  <Lines>45</Lines>
  <Paragraphs>12</Paragraphs>
  <ScaleCrop>false</ScaleCrop>
  <Company>微软中国</Company>
  <LinksUpToDate>false</LinksUpToDate>
  <CharactersWithSpaces>6405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GXR</dc:creator>
  <cp:lastModifiedBy>喀地财库-任雯</cp:lastModifiedBy>
  <cp:revision>161</cp:revision>
  <dcterms:created xsi:type="dcterms:W3CDTF">2020-07-16T02:47:00Z</dcterms:created>
  <dcterms:modified xsi:type="dcterms:W3CDTF">2020-10-18T16:55:00Z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