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喀什地区少数民族小学教师培训中心《</w:t>
      </w:r>
      <w:r>
        <w:rPr>
          <w:rFonts w:ascii="方正小标宋简体" w:eastAsia="方正小标宋简体"/>
          <w:sz w:val="44"/>
          <w:szCs w:val="44"/>
        </w:rPr>
        <w:t>2017年新疆西藏等地区教育特殊补助专项资金》项目</w:t>
      </w:r>
      <w:r>
        <w:rPr>
          <w:rFonts w:hint="eastAsia" w:ascii="方正小标宋简体" w:eastAsia="方正小标宋简体"/>
          <w:sz w:val="44"/>
          <w:szCs w:val="44"/>
        </w:rPr>
        <w:t>支出绩效评价报告</w:t>
      </w: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20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ascii="仿宋_GB2312" w:hAnsi="仿宋" w:eastAsia="仿宋_GB2312" w:cs="Times New Roman"/>
          <w:spacing w:val="-2"/>
          <w:sz w:val="36"/>
          <w:szCs w:val="36"/>
        </w:rPr>
        <w:t>2017年新疆西藏等地区教育特殊补助专项资金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实施单位：喀什地区少数民族小学教师培训中心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评价部门：喀什地区少数民族小学教师培训中心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二零二零年五月</w:t>
      </w:r>
    </w:p>
    <w:p>
      <w:pPr>
        <w:spacing w:before="120" w:beforeLines="50" w:line="0" w:lineRule="atLeast"/>
        <w:jc w:val="left"/>
        <w:rPr>
          <w:sz w:val="28"/>
          <w:szCs w:val="28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spacing w:before="120" w:beforeLines="50" w:after="120" w:afterLines="50" w:line="600" w:lineRule="exact"/>
        <w:jc w:val="center"/>
        <w:rPr>
          <w:rFonts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</w:rPr>
      </w:pPr>
    </w:p>
    <w:p>
      <w:pPr>
        <w:pStyle w:val="23"/>
        <w:numPr>
          <w:ilvl w:val="0"/>
          <w:numId w:val="2"/>
        </w:numPr>
        <w:ind w:firstLineChars="0"/>
      </w:pPr>
      <w:r>
        <w:rPr>
          <w:rFonts w:hint="eastAsia"/>
        </w:rPr>
        <w:t>基本情况</w:t>
      </w:r>
    </w:p>
    <w:p>
      <w:pPr>
        <w:pStyle w:val="25"/>
        <w:ind w:left="0" w:firstLine="643" w:firstLineChars="200"/>
      </w:pPr>
      <w:bookmarkStart w:id="0" w:name="_Toc26401549"/>
      <w:r>
        <w:rPr>
          <w:rFonts w:hint="eastAsia"/>
        </w:rPr>
        <w:t>项目概况</w:t>
      </w:r>
      <w:bookmarkEnd w:id="0"/>
    </w:p>
    <w:p>
      <w:pPr>
        <w:pStyle w:val="19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项目背景及立项依据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本项目根据新财教（2017）217号、喀地财教（2017）65号文件《关于拨付2017年第二期新疆中小学少数民族教师培训工程经费的通知》。</w:t>
      </w:r>
    </w:p>
    <w:p>
      <w:pPr>
        <w:pStyle w:val="19"/>
        <w:numPr>
          <w:ilvl w:val="0"/>
          <w:numId w:val="3"/>
        </w:numPr>
        <w:spacing w:before="120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项目主要内容及实施情况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为支持南疆贫困地区教师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语文</w:t>
      </w:r>
      <w:r>
        <w:rPr>
          <w:rFonts w:hint="eastAsia" w:ascii="仿宋_GB2312" w:hAnsi="仿宋" w:eastAsia="仿宋_GB2312" w:cs="宋体"/>
          <w:sz w:val="32"/>
          <w:szCs w:val="32"/>
        </w:rPr>
        <w:t>水平提升，缓解教师结构性短缺压力，根据自治区财政厅《关于拨付</w:t>
      </w:r>
      <w:r>
        <w:rPr>
          <w:rFonts w:ascii="仿宋_GB2312" w:hAnsi="仿宋" w:eastAsia="仿宋_GB2312" w:cs="宋体"/>
          <w:sz w:val="32"/>
          <w:szCs w:val="32"/>
        </w:rPr>
        <w:t>2017年第二期新疆中小学少数民族教师培训工程经费的通知</w:t>
      </w:r>
      <w:r>
        <w:rPr>
          <w:rFonts w:hint="eastAsia" w:ascii="仿宋_GB2312" w:hAnsi="仿宋" w:eastAsia="仿宋_GB2312" w:cs="宋体"/>
          <w:sz w:val="32"/>
          <w:szCs w:val="32"/>
        </w:rPr>
        <w:t>》（新财教（2017）217号精神，拨付我校358.7万元，用于教师培训，2018年结转至2019年项目资金254.3364万元。</w:t>
      </w:r>
    </w:p>
    <w:p>
      <w:pPr>
        <w:tabs>
          <w:tab w:val="left" w:pos="7770"/>
        </w:tabs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3.项目负责人为木合塔尔·热合曼，主要职责为分管培训校区工作的校领导。</w:t>
      </w:r>
    </w:p>
    <w:p>
      <w:pPr>
        <w:pStyle w:val="25"/>
        <w:ind w:left="0" w:firstLine="643" w:firstLineChars="200"/>
      </w:pPr>
      <w:bookmarkStart w:id="1" w:name="_Toc26401550"/>
      <w:r>
        <w:rPr>
          <w:rFonts w:hint="eastAsia"/>
        </w:rPr>
        <w:t>资金</w:t>
      </w:r>
      <w:bookmarkEnd w:id="1"/>
      <w:r>
        <w:rPr>
          <w:rFonts w:hint="eastAsia"/>
        </w:rPr>
        <w:t>投入和使用情况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本项目本年度总投资</w:t>
      </w:r>
      <w:r>
        <w:rPr>
          <w:rFonts w:ascii="仿宋_GB2312" w:hAnsi="仿宋" w:eastAsia="仿宋_GB2312" w:cs="宋体"/>
          <w:sz w:val="32"/>
          <w:szCs w:val="32"/>
        </w:rPr>
        <w:t>254.3364</w:t>
      </w:r>
      <w:r>
        <w:rPr>
          <w:rFonts w:hint="eastAsia" w:ascii="仿宋_GB2312" w:hAnsi="仿宋" w:eastAsia="仿宋_GB2312" w:cs="宋体"/>
          <w:sz w:val="32"/>
          <w:szCs w:val="32"/>
        </w:rPr>
        <w:t>万元，资金来源为中央专项资金。</w:t>
      </w:r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新疆西藏等地区教育特殊补助专项资金的使用范围：保证学校正常运转、水电暖、校舍及仪器设备维修修缮、基本支出、培训教育教学及办公、邮电费、低值易耗品、专用材料购置、交通差旅费、支出、教师培养培训、教育教学及办公设备购置、劳务费、物业管理费、委托业务费等基本支出项目，根据自治区财政厅《关于拨付</w:t>
      </w:r>
      <w:r>
        <w:rPr>
          <w:rFonts w:ascii="仿宋_GB2312" w:hAnsi="仿宋" w:eastAsia="仿宋_GB2312" w:cs="宋体"/>
          <w:sz w:val="32"/>
          <w:szCs w:val="32"/>
        </w:rPr>
        <w:t>2017年第二期新疆中小学少数民族教师培训工程经费的通知</w:t>
      </w:r>
      <w:r>
        <w:rPr>
          <w:rFonts w:hint="eastAsia" w:ascii="仿宋_GB2312" w:hAnsi="仿宋" w:eastAsia="仿宋_GB2312" w:cs="宋体"/>
          <w:sz w:val="32"/>
          <w:szCs w:val="32"/>
        </w:rPr>
        <w:t>》（新财教（2017）217号精神我单位制定了《喀什师范学校（喀什地区少数民族小学教师培训中心）财务管理办法》，按照新财教（2017）217号、喀地财教（2017）65号文件进行使用</w:t>
      </w:r>
    </w:p>
    <w:p>
      <w:pPr>
        <w:pStyle w:val="25"/>
        <w:ind w:left="0" w:firstLine="643" w:firstLineChars="200"/>
      </w:pPr>
      <w:bookmarkStart w:id="2" w:name="_Toc26401551"/>
      <w:r>
        <w:rPr>
          <w:rFonts w:hint="eastAsia"/>
        </w:rPr>
        <w:t>绩效目标</w:t>
      </w:r>
      <w:bookmarkEnd w:id="2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总体目标为：培训学员人</w:t>
      </w:r>
      <w:r>
        <w:rPr>
          <w:rFonts w:ascii="仿宋_GB2312" w:hAnsi="仿宋" w:eastAsia="仿宋_GB2312" w:cs="宋体"/>
          <w:sz w:val="32"/>
          <w:szCs w:val="32"/>
        </w:rPr>
        <w:t>423人、培训覆盖率达到90%、培训出勤率达到90%、培训合格率达到90%、资金及时足额支付率达到100%、培训补助资金标准6000元/人/年、缓解学员家庭经济困难90%以上、逐步提升培训学员</w:t>
      </w:r>
      <w:r>
        <w:rPr>
          <w:rFonts w:hint="eastAsia" w:ascii="仿宋_GB2312" w:hAnsi="仿宋" w:eastAsia="仿宋_GB2312" w:cs="宋体"/>
          <w:sz w:val="32"/>
          <w:szCs w:val="32"/>
          <w:lang w:eastAsia="zh-CN"/>
        </w:rPr>
        <w:t>语文</w:t>
      </w:r>
      <w:r>
        <w:rPr>
          <w:rFonts w:ascii="仿宋_GB2312" w:hAnsi="仿宋" w:eastAsia="仿宋_GB2312" w:cs="宋体"/>
          <w:sz w:val="32"/>
          <w:szCs w:val="32"/>
        </w:rPr>
        <w:t>能力、培训学员满意率达到95%以上</w:t>
      </w:r>
      <w:r>
        <w:rPr>
          <w:rFonts w:hint="eastAsia" w:ascii="仿宋_GB2312" w:hAnsi="仿宋" w:eastAsia="仿宋_GB2312" w:cs="宋体"/>
          <w:sz w:val="32"/>
          <w:szCs w:val="32"/>
        </w:rPr>
        <w:t>。</w:t>
      </w:r>
    </w:p>
    <w:p>
      <w:pPr>
        <w:spacing w:before="120" w:beforeLines="50" w:line="600" w:lineRule="exact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 xml:space="preserve"> </w:t>
      </w:r>
      <w:r>
        <w:rPr>
          <w:rFonts w:ascii="仿宋_GB2312" w:hAnsi="仿宋" w:eastAsia="仿宋_GB2312" w:cs="宋体"/>
          <w:sz w:val="32"/>
          <w:szCs w:val="32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</w:rPr>
        <w:t>项目共设置</w:t>
      </w:r>
      <w:r>
        <w:rPr>
          <w:rFonts w:ascii="仿宋_GB2312" w:hAnsi="仿宋" w:eastAsia="仿宋_GB2312" w:cs="宋体"/>
          <w:sz w:val="32"/>
          <w:szCs w:val="32"/>
        </w:rPr>
        <w:t>1</w:t>
      </w:r>
      <w:r>
        <w:rPr>
          <w:rFonts w:hint="eastAsia" w:ascii="仿宋_GB2312" w:hAnsi="仿宋" w:eastAsia="仿宋_GB2312" w:cs="宋体"/>
          <w:sz w:val="32"/>
          <w:szCs w:val="32"/>
        </w:rPr>
        <w:t>级指标3个，二级指标</w:t>
      </w:r>
      <w:r>
        <w:rPr>
          <w:rFonts w:ascii="仿宋_GB2312" w:hAnsi="仿宋" w:eastAsia="仿宋_GB2312" w:cs="宋体"/>
          <w:sz w:val="32"/>
          <w:szCs w:val="32"/>
        </w:rPr>
        <w:t>7</w:t>
      </w:r>
      <w:r>
        <w:rPr>
          <w:rFonts w:hint="eastAsia" w:ascii="仿宋_GB2312" w:hAnsi="仿宋" w:eastAsia="仿宋_GB2312" w:cs="宋体"/>
          <w:sz w:val="32"/>
          <w:szCs w:val="32"/>
        </w:rPr>
        <w:t>个，三级指标9个，绩效目标申报表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,</w:t>
      </w:r>
      <w:r>
        <w:rPr>
          <w:rFonts w:hint="eastAsia" w:ascii="仿宋_GB2312" w:hAnsi="仿宋" w:eastAsia="仿宋_GB2312" w:cs="宋体"/>
          <w:sz w:val="32"/>
          <w:szCs w:val="32"/>
        </w:rPr>
        <w:t>详见附件1。</w:t>
      </w:r>
    </w:p>
    <w:p>
      <w:pPr>
        <w:pStyle w:val="23"/>
        <w:numPr>
          <w:ilvl w:val="0"/>
          <w:numId w:val="2"/>
        </w:numPr>
        <w:ind w:firstLineChars="0"/>
      </w:pPr>
      <w:bookmarkStart w:id="3" w:name="_Toc26401552"/>
      <w:r>
        <w:rPr>
          <w:rFonts w:hint="eastAsia"/>
        </w:rPr>
        <w:t>评价工作简述</w:t>
      </w:r>
      <w:bookmarkEnd w:id="3"/>
    </w:p>
    <w:p>
      <w:pPr>
        <w:pStyle w:val="25"/>
        <w:numPr>
          <w:ilvl w:val="0"/>
          <w:numId w:val="4"/>
        </w:numPr>
        <w:ind w:left="0" w:firstLine="643" w:firstLineChars="200"/>
      </w:pPr>
      <w:bookmarkStart w:id="4" w:name="_Toc26401553"/>
      <w:r>
        <w:rPr>
          <w:rFonts w:hint="eastAsia"/>
        </w:rPr>
        <w:t>评价目的</w:t>
      </w:r>
      <w:bookmarkEnd w:id="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hAnsi="仿宋" w:eastAsia="仿宋_GB2312" w:cs="宋体"/>
          <w:sz w:val="32"/>
          <w:szCs w:val="32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</w:rPr>
        <w:t>旨在评价新疆西藏等地区教育特殊补助专项资金项目实施前期、过程及效果，评价财政预算资金使用的效率及效益。此项目为新疆西藏等地区教育特殊补助专项资金项目，此项目资金为加强我校综合办学能力，提高学校办学条件起到了积极有效的作用。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本次绩效评价的对象及范围</w:t>
      </w:r>
      <w:bookmarkStart w:id="5" w:name="_Toc26401554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ascii="仿宋_GB2312" w:hAnsi="仿宋" w:eastAsia="仿宋_GB2312" w:cs="宋体"/>
          <w:sz w:val="32"/>
          <w:szCs w:val="32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</w:rPr>
        <w:t>新疆西藏等地区教育特殊补助专项资金</w:t>
      </w:r>
      <w:r>
        <w:rPr>
          <w:rFonts w:ascii="仿宋_GB2312" w:hAnsi="仿宋" w:eastAsia="仿宋_GB2312" w:cs="宋体"/>
          <w:sz w:val="32"/>
          <w:szCs w:val="32"/>
        </w:rPr>
        <w:t>，评价范围包括专项资</w:t>
      </w:r>
      <w:r>
        <w:rPr>
          <w:rFonts w:hint="eastAsia" w:ascii="仿宋_GB2312" w:hAnsi="仿宋" w:eastAsia="仿宋_GB2312" w:cs="宋体"/>
          <w:sz w:val="32"/>
          <w:szCs w:val="32"/>
        </w:rPr>
        <w:t>金的安排、组织及使用效益。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绩效评价原则</w:t>
      </w:r>
      <w:bookmarkEnd w:id="5"/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本次绩效评价遵循的原则包括：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科学公正。绩效评价应当运用科学合理的方法，按照规范的程序，对项目绩效进行客观、公正的反映。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</w:rPr>
      </w:pPr>
      <w:r>
        <w:rPr>
          <w:rFonts w:hint="eastAsia" w:hAnsi="仿宋" w:cs="宋体"/>
          <w:b w:val="0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5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</w:rPr>
      </w:pPr>
      <w:r>
        <w:rPr>
          <w:rFonts w:hint="eastAsia" w:hAnsi="仿宋" w:cs="宋体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>
      <w:pPr>
        <w:pStyle w:val="25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本项目绩效评价体系</w:t>
      </w:r>
    </w:p>
    <w:p>
      <w:pPr>
        <w:pStyle w:val="25"/>
        <w:numPr>
          <w:ilvl w:val="0"/>
          <w:numId w:val="0"/>
        </w:numPr>
        <w:ind w:firstLine="640" w:firstLineChars="20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hint="eastAsia" w:ascii="仿宋" w:hAnsi="仿宋" w:eastAsia="仿宋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hint="eastAsia" w:ascii="仿宋" w:hAnsi="仿宋" w:eastAsia="仿宋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</w:t>
      </w:r>
      <w:r>
        <w:rPr>
          <w:b w:val="0"/>
        </w:rPr>
        <w:t xml:space="preserve"> </w:t>
      </w:r>
      <w:r>
        <w:rPr>
          <w:rFonts w:hint="eastAsia"/>
          <w:b w:val="0"/>
        </w:rPr>
        <w:t>，</w:t>
      </w:r>
      <w:r>
        <w:rPr>
          <w:rFonts w:hint="eastAsia"/>
          <w:b w:val="0"/>
          <w:bCs w:val="0"/>
        </w:rPr>
        <w:t>详见附件</w:t>
      </w:r>
      <w:r>
        <w:rPr>
          <w:rFonts w:hint="eastAsia"/>
          <w:b w:val="0"/>
          <w:bCs w:val="0"/>
          <w:lang w:val="en-US" w:eastAsia="zh-CN"/>
        </w:rPr>
        <w:t>4</w:t>
      </w:r>
      <w:r>
        <w:rPr>
          <w:rFonts w:hint="eastAsia"/>
          <w:b w:val="0"/>
        </w:rPr>
        <w:t>。</w:t>
      </w:r>
    </w:p>
    <w:p>
      <w:pPr>
        <w:pStyle w:val="25"/>
        <w:keepNext w:val="0"/>
        <w:keepLines w:val="0"/>
        <w:numPr>
          <w:ilvl w:val="0"/>
          <w:numId w:val="4"/>
        </w:numPr>
        <w:ind w:left="0" w:firstLine="643" w:firstLineChars="200"/>
      </w:pPr>
      <w:bookmarkStart w:id="6" w:name="_Toc26401555"/>
      <w:r>
        <w:rPr>
          <w:rFonts w:hint="eastAsia"/>
        </w:rPr>
        <w:t>绩效评价方法</w:t>
      </w:r>
      <w:bookmarkEnd w:id="6"/>
    </w:p>
    <w:p>
      <w:pPr>
        <w:spacing w:before="120" w:beforeLines="50" w:line="6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本次绩效评价方法的选用坚持简便有效的原则采用因素分析法、问卷调查法、综合分析法。</w:t>
      </w:r>
    </w:p>
    <w:p>
      <w:pPr>
        <w:pStyle w:val="25"/>
        <w:keepNext w:val="0"/>
        <w:keepLines w:val="0"/>
        <w:numPr>
          <w:ilvl w:val="0"/>
          <w:numId w:val="4"/>
        </w:numPr>
        <w:ind w:left="0" w:firstLine="643" w:firstLineChars="200"/>
      </w:pPr>
      <w:r>
        <w:rPr>
          <w:rFonts w:hint="eastAsia"/>
        </w:rPr>
        <w:t>评价标准</w:t>
      </w:r>
    </w:p>
    <w:p>
      <w:pPr>
        <w:pStyle w:val="25"/>
        <w:keepNext w:val="0"/>
        <w:keepLines w:val="0"/>
        <w:numPr>
          <w:ilvl w:val="0"/>
          <w:numId w:val="0"/>
        </w:numP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-SA"/>
        </w:rPr>
        <w:t>项目评价标准采用计划标准、行业标准绩效评价工作过程</w:t>
      </w:r>
    </w:p>
    <w:p>
      <w:pPr>
        <w:pStyle w:val="25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>
        <w:rPr>
          <w:rFonts w:hint="eastAsia"/>
          <w:b w:val="0"/>
          <w:bCs w:val="0"/>
          <w:lang w:eastAsia="zh-CN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木合塔尔·热合曼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杜建国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助理讲师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杨继涛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28"/>
              </w:rPr>
              <w:t>布合力且木·阿西木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努尔买买提·吾布力卡斯木</w:t>
            </w:r>
          </w:p>
        </w:tc>
        <w:tc>
          <w:tcPr>
            <w:tcW w:w="2765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5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助理讲师</w:t>
            </w:r>
          </w:p>
        </w:tc>
      </w:tr>
    </w:tbl>
    <w:p>
      <w:pPr>
        <w:pStyle w:val="25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3"/>
        <w:numPr>
          <w:ilvl w:val="0"/>
          <w:numId w:val="2"/>
        </w:numPr>
        <w:ind w:firstLineChars="0"/>
      </w:pPr>
      <w:bookmarkStart w:id="7" w:name="_Toc26401558"/>
      <w:r>
        <w:rPr>
          <w:rFonts w:hint="eastAsia" w:ascii="黑体" w:hAnsi="黑体"/>
        </w:rPr>
        <w:t>综合评价情况及评价结论</w:t>
      </w:r>
      <w:r>
        <w:rPr>
          <w:rFonts w:hint="eastAsia" w:ascii="仿宋_GB2312"/>
        </w:rPr>
        <w:t>（附相关评分表）</w:t>
      </w:r>
    </w:p>
    <w:p>
      <w:pPr>
        <w:pStyle w:val="23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hint="eastAsia" w:ascii="仿宋_GB2312" w:eastAsia="仿宋_GB2312" w:hAnsiTheme="majorHAnsi"/>
          <w:b w:val="0"/>
          <w:bCs w:val="0"/>
          <w:kern w:val="2"/>
        </w:rPr>
        <w:t>经评价组通过实地调研、资料分析等方式，采用综合分析法等对项目的决策、管理、绩效进行的综合评价分析，项目得分为100分，评价结果为优，详见附件</w:t>
      </w:r>
      <w:r>
        <w:rPr>
          <w:rFonts w:hint="eastAsia" w:ascii="仿宋_GB2312" w:eastAsia="仿宋_GB2312" w:hAnsiTheme="majorHAnsi"/>
          <w:b w:val="0"/>
          <w:bCs w:val="0"/>
          <w:kern w:val="2"/>
          <w:lang w:val="en-US" w:eastAsia="zh-CN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</w:rPr>
        <w:t>。</w:t>
      </w:r>
    </w:p>
    <w:p>
      <w:pPr>
        <w:pStyle w:val="23"/>
        <w:numPr>
          <w:ilvl w:val="0"/>
          <w:numId w:val="2"/>
        </w:numPr>
        <w:ind w:firstLineChars="0"/>
      </w:pPr>
      <w:r>
        <w:rPr>
          <w:rFonts w:hint="eastAsia"/>
        </w:rPr>
        <w:t>绩效评价指标分析</w:t>
      </w:r>
      <w:bookmarkEnd w:id="7"/>
    </w:p>
    <w:p>
      <w:pPr>
        <w:pStyle w:val="19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项目的决策情况</w:t>
      </w:r>
    </w:p>
    <w:p>
      <w:pPr>
        <w:pStyle w:val="28"/>
        <w:ind w:firstLine="640"/>
        <w:rPr>
          <w:rFonts w:ascii="仿宋_GB2312" w:hAnsi="仿宋" w:cs="宋体"/>
          <w:sz w:val="32"/>
          <w:szCs w:val="32"/>
        </w:rPr>
      </w:pPr>
      <w:r>
        <w:rPr>
          <w:rFonts w:hint="eastAsia" w:ascii="仿宋_GB2312" w:hAnsi="仿宋" w:cs="宋体"/>
          <w:sz w:val="32"/>
          <w:szCs w:val="32"/>
        </w:rPr>
        <w:t>本项目的立项符合相关法规政策及部门职责，依据充分；项目按照规定的程序申请设立；审批文件、材料符合相关要求；项目前期已经过必要的绩效评估、集体决策。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9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在资金管理方面，项目资金到位足额及时，及时支付，资金使用符合国家法规和财务管理制度；资金拨付有完整的审批程序和手续，符合项目预算批复的用途；不存在截留、挤占、挪用、虚列支出等情况。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项目调整及支出调整手续完备，相关人员级领导签字审批、合同、验收单等资料齐全并及时归档，项目实施的人员条件、场地设备、信息支撑等落实到位。</w:t>
      </w:r>
    </w:p>
    <w:p>
      <w:pPr>
        <w:pStyle w:val="19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项目产出情况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项目产出数量为培训学员人数，预期指标值为423人，实际完成值为423人，指标达到预期目标。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项目产出质量为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1）培训覆盖率，预期指标值为大于等于90%，实际完成值为9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%，指标达到预期目标。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2）培训出勤率</w:t>
      </w:r>
      <w:r>
        <w:rPr>
          <w:rFonts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0%，实际完成值为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0%，指标达到预期目标。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3）培训合格率</w:t>
      </w:r>
      <w:r>
        <w:rPr>
          <w:rFonts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0%，实际完成值为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0%，指标达到预期目标。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项目产出时效为资金及时足额支付率，预期指标值为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%，实际完成值为10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%，达到预期目标。</w:t>
      </w:r>
    </w:p>
    <w:p>
      <w:pPr>
        <w:spacing w:before="120"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项目产出成本指标为培训补助资金标准，预期指标值为6000</w:t>
      </w:r>
      <w:r>
        <w:rPr>
          <w:rFonts w:ascii="仿宋_GB2312" w:eastAsia="仿宋_GB2312"/>
          <w:sz w:val="32"/>
          <w:szCs w:val="32"/>
        </w:rPr>
        <w:t>元/人/年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ascii="仿宋_GB2312" w:eastAsia="仿宋_GB2312"/>
          <w:sz w:val="32"/>
          <w:szCs w:val="32"/>
        </w:rPr>
        <w:t>6000元/人/年</w:t>
      </w:r>
      <w:r>
        <w:rPr>
          <w:rFonts w:hint="eastAsia" w:ascii="仿宋_GB2312" w:eastAsia="仿宋_GB2312"/>
          <w:sz w:val="32"/>
          <w:szCs w:val="32"/>
        </w:rPr>
        <w:t>，达到预期目标。</w:t>
      </w:r>
    </w:p>
    <w:p>
      <w:pPr>
        <w:pStyle w:val="19"/>
        <w:numPr>
          <w:ilvl w:val="0"/>
          <w:numId w:val="6"/>
        </w:numPr>
        <w:spacing w:before="120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</w:rPr>
        <w:t>项目效益情况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指标为缓解学员家庭经济困难</w:t>
      </w:r>
      <w:r>
        <w:rPr>
          <w:rFonts w:ascii="仿宋_GB2312" w:eastAsia="仿宋_GB2312"/>
          <w:sz w:val="32"/>
          <w:szCs w:val="32"/>
        </w:rPr>
        <w:t>，预期指标值为</w:t>
      </w:r>
      <w:r>
        <w:rPr>
          <w:rFonts w:hint="eastAsia" w:ascii="仿宋_GB2312" w:eastAsia="仿宋_GB2312"/>
          <w:sz w:val="32"/>
          <w:szCs w:val="32"/>
        </w:rPr>
        <w:t>90%</w:t>
      </w:r>
      <w:r>
        <w:rPr>
          <w:rFonts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</w:rPr>
        <w:t>9</w:t>
      </w:r>
      <w:r>
        <w:rPr>
          <w:rFonts w:ascii="仿宋_GB2312" w:eastAsia="仿宋_GB2312"/>
          <w:sz w:val="32"/>
          <w:szCs w:val="32"/>
        </w:rPr>
        <w:t>0%，指标达到预期目标。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 w:cs="Times New Roman" w:hAnsiTheme="majorHAnsi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指标为逐步提升培训学员</w:t>
      </w:r>
      <w:r>
        <w:rPr>
          <w:rFonts w:hint="eastAsia" w:ascii="仿宋_GB2312" w:eastAsia="仿宋_GB2312"/>
          <w:sz w:val="32"/>
          <w:szCs w:val="32"/>
          <w:lang w:eastAsia="zh-CN"/>
        </w:rPr>
        <w:t>语文</w:t>
      </w:r>
      <w:r>
        <w:rPr>
          <w:rFonts w:hint="eastAsia" w:ascii="仿宋_GB2312" w:eastAsia="仿宋_GB2312"/>
          <w:sz w:val="32"/>
          <w:szCs w:val="32"/>
        </w:rPr>
        <w:t>能力，预期指标值为逐步提升，实际完成值为90%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，达到预期目标</w:t>
      </w:r>
      <w:r>
        <w:rPr>
          <w:rFonts w:hint="eastAsia" w:ascii="仿宋_GB2312" w:eastAsia="仿宋_GB2312" w:cs="Times New Roman" w:hAnsiTheme="majorHAnsi"/>
          <w:bCs/>
          <w:sz w:val="32"/>
          <w:szCs w:val="32"/>
        </w:rPr>
        <w:t>。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 w:cs="Times New Roman" w:hAnsiTheme="majorHAnsi"/>
          <w:bCs/>
          <w:sz w:val="32"/>
          <w:szCs w:val="32"/>
        </w:rPr>
      </w:pPr>
      <w:r>
        <w:rPr>
          <w:rFonts w:hint="eastAsia" w:ascii="仿宋_GB2312" w:eastAsia="仿宋_GB2312" w:cs="Times New Roman" w:hAnsiTheme="majorHAnsi"/>
          <w:bCs/>
          <w:sz w:val="32"/>
          <w:szCs w:val="32"/>
        </w:rPr>
        <w:t>（五）项目满意度情况</w:t>
      </w:r>
    </w:p>
    <w:p>
      <w:pPr>
        <w:spacing w:before="120" w:beforeLines="50" w:line="600" w:lineRule="exact"/>
        <w:ind w:firstLine="640" w:firstLineChars="200"/>
        <w:rPr>
          <w:rFonts w:ascii="仿宋_GB2312" w:eastAsia="仿宋_GB2312" w:cs="Times New Roman" w:hAnsiTheme="majorHAnsi"/>
          <w:bCs/>
          <w:sz w:val="32"/>
          <w:szCs w:val="32"/>
        </w:rPr>
      </w:pPr>
      <w:r>
        <w:rPr>
          <w:rFonts w:hint="eastAsia" w:ascii="仿宋_GB2312" w:eastAsia="仿宋_GB2312" w:cs="Times New Roman" w:hAnsiTheme="majorHAnsi"/>
          <w:bCs/>
          <w:sz w:val="32"/>
          <w:szCs w:val="32"/>
        </w:rPr>
        <w:t>满意度指标1个，培训学员满意率，预期指标值为95%，实际完成值为95%，达到预期目标。</w:t>
      </w:r>
    </w:p>
    <w:p>
      <w:pPr>
        <w:ind w:firstLine="640" w:firstLineChars="200"/>
        <w:rPr>
          <w:rFonts w:ascii="仿宋_GB2312" w:eastAsia="仿宋_GB2312" w:cs="Times New Roman" w:hAnsiTheme="majorHAnsi"/>
          <w:bCs/>
          <w:sz w:val="32"/>
          <w:szCs w:val="32"/>
          <w:highlight w:val="yellow"/>
        </w:rPr>
      </w:pPr>
      <w:r>
        <w:rPr>
          <w:rFonts w:hint="eastAsia" w:ascii="仿宋_GB2312" w:eastAsia="仿宋_GB2312" w:cs="Times New Roman" w:hAnsiTheme="majorHAnsi"/>
          <w:bCs/>
          <w:sz w:val="32"/>
          <w:szCs w:val="32"/>
        </w:rPr>
        <w:t>4、评价工作应从项目实施方案源头抓起，评价工作和意识应贯穿项目整个过程。受训学员满意度</w:t>
      </w:r>
    </w:p>
    <w:p>
      <w:pPr>
        <w:pStyle w:val="23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ind w:left="643" w:leftChars="306" w:firstLine="320" w:firstLineChars="100"/>
        <w:rPr>
          <w:rFonts w:ascii="仿宋_GB2312" w:hAnsi="Calibri"/>
          <w:bCs/>
          <w:sz w:val="32"/>
          <w:szCs w:val="32"/>
        </w:rPr>
      </w:pPr>
      <w:r>
        <w:rPr>
          <w:rFonts w:hint="eastAsia" w:ascii="仿宋_GB2312" w:hAnsi="Calibri"/>
          <w:bCs/>
          <w:sz w:val="32"/>
          <w:szCs w:val="32"/>
        </w:rPr>
        <w:t>无其他说明内容。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附件1：喀什地区少数民族小学教师培训中心《</w:t>
      </w:r>
      <w:r>
        <w:rPr>
          <w:rFonts w:ascii="仿宋_GB2312" w:hAnsi="仿宋" w:eastAsia="仿宋_GB2312" w:cs="宋体"/>
          <w:sz w:val="32"/>
          <w:szCs w:val="32"/>
        </w:rPr>
        <w:t>2017年新疆西藏等地区教育特殊补助专项资金》项目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支出绩效目标申报表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附件2：喀什地区少数民族小学教师培训中心《</w:t>
      </w:r>
      <w:r>
        <w:rPr>
          <w:rFonts w:ascii="仿宋_GB2312" w:hAnsi="仿宋" w:eastAsia="仿宋_GB2312" w:cs="宋体"/>
          <w:sz w:val="32"/>
          <w:szCs w:val="32"/>
        </w:rPr>
        <w:t>2017年新疆西藏等地区教育特殊补助专项资金》项目</w:t>
      </w:r>
      <w:r>
        <w:rPr>
          <w:rFonts w:hint="eastAsia" w:ascii="仿宋_GB2312" w:hAnsi="仿宋" w:eastAsia="仿宋_GB2312" w:cs="宋体"/>
          <w:sz w:val="32"/>
          <w:szCs w:val="32"/>
        </w:rPr>
        <w:t>支出绩效目标表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附件3：喀什地区少数民族小学教师培训中心《</w:t>
      </w:r>
      <w:r>
        <w:rPr>
          <w:rFonts w:ascii="仿宋_GB2312" w:hAnsi="仿宋" w:eastAsia="仿宋_GB2312" w:cs="宋体"/>
          <w:sz w:val="32"/>
          <w:szCs w:val="32"/>
        </w:rPr>
        <w:t>2017年新疆西藏等地区教育特殊补助专项资金》项目</w:t>
      </w:r>
      <w:r>
        <w:rPr>
          <w:rFonts w:hint="eastAsia" w:ascii="仿宋_GB2312" w:hAnsi="仿宋" w:eastAsia="仿宋_GB2312" w:cs="宋体"/>
          <w:sz w:val="32"/>
          <w:szCs w:val="32"/>
        </w:rPr>
        <w:t>支出绩效自评表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附件4：喀什地区少数民族小学教师培训中心《</w:t>
      </w:r>
      <w:r>
        <w:rPr>
          <w:rFonts w:ascii="仿宋_GB2312" w:hAnsi="仿宋" w:eastAsia="仿宋_GB2312" w:cs="宋体"/>
          <w:sz w:val="32"/>
          <w:szCs w:val="32"/>
        </w:rPr>
        <w:t>2017年新疆西藏等地区教育特殊补助专项资金》项目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支出绩效评价指标体系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附件5：绩效评价依据</w:t>
      </w:r>
    </w:p>
    <w:p>
      <w:pPr>
        <w:spacing w:before="120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</w:rPr>
      </w:pPr>
      <w:r>
        <w:rPr>
          <w:rFonts w:hint="eastAsia" w:ascii="仿宋_GB2312" w:hAnsi="仿宋" w:eastAsia="仿宋_GB2312" w:cs="宋体"/>
          <w:sz w:val="32"/>
          <w:szCs w:val="32"/>
        </w:rPr>
        <w:t>附件6：喀什地区少数民族小学教师培训中心《</w:t>
      </w:r>
      <w:r>
        <w:rPr>
          <w:rFonts w:ascii="仿宋_GB2312" w:hAnsi="仿宋" w:eastAsia="仿宋_GB2312" w:cs="宋体"/>
          <w:sz w:val="32"/>
          <w:szCs w:val="32"/>
        </w:rPr>
        <w:t>2017年新疆西藏等地区教育特殊补助专项资金》项目</w:t>
      </w:r>
      <w:r>
        <w:rPr>
          <w:rFonts w:hint="eastAsia" w:ascii="仿宋_GB2312" w:hAnsi="仿宋" w:eastAsia="仿宋_GB2312" w:cs="宋体"/>
          <w:sz w:val="32"/>
          <w:szCs w:val="32"/>
        </w:rPr>
        <w:t>支出绩效评价评分表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3539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5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5715"/>
    <w:rsid w:val="00003C25"/>
    <w:rsid w:val="00022413"/>
    <w:rsid w:val="00037F93"/>
    <w:rsid w:val="00042126"/>
    <w:rsid w:val="00042E52"/>
    <w:rsid w:val="000E0C7B"/>
    <w:rsid w:val="000F2007"/>
    <w:rsid w:val="00100A64"/>
    <w:rsid w:val="00100AA9"/>
    <w:rsid w:val="00102F9B"/>
    <w:rsid w:val="001041F5"/>
    <w:rsid w:val="00106510"/>
    <w:rsid w:val="001143D6"/>
    <w:rsid w:val="0012798F"/>
    <w:rsid w:val="00132553"/>
    <w:rsid w:val="00150E47"/>
    <w:rsid w:val="00151AF1"/>
    <w:rsid w:val="00174F3A"/>
    <w:rsid w:val="0018169D"/>
    <w:rsid w:val="00193649"/>
    <w:rsid w:val="0019720C"/>
    <w:rsid w:val="001A1902"/>
    <w:rsid w:val="001A4FFA"/>
    <w:rsid w:val="001B5B44"/>
    <w:rsid w:val="001D0923"/>
    <w:rsid w:val="001D5FF2"/>
    <w:rsid w:val="001D6F2E"/>
    <w:rsid w:val="001F3A0A"/>
    <w:rsid w:val="00203FB6"/>
    <w:rsid w:val="002162F1"/>
    <w:rsid w:val="00233ECE"/>
    <w:rsid w:val="002448BC"/>
    <w:rsid w:val="00246F8E"/>
    <w:rsid w:val="00281CE6"/>
    <w:rsid w:val="002A1BF4"/>
    <w:rsid w:val="002B3A72"/>
    <w:rsid w:val="002C6231"/>
    <w:rsid w:val="002D1507"/>
    <w:rsid w:val="002F6046"/>
    <w:rsid w:val="002F7CDC"/>
    <w:rsid w:val="003248B7"/>
    <w:rsid w:val="00324E56"/>
    <w:rsid w:val="00325C1C"/>
    <w:rsid w:val="00331AF1"/>
    <w:rsid w:val="003468D7"/>
    <w:rsid w:val="00352EA1"/>
    <w:rsid w:val="00363E52"/>
    <w:rsid w:val="00382736"/>
    <w:rsid w:val="003A04D1"/>
    <w:rsid w:val="003C327E"/>
    <w:rsid w:val="003C4B3D"/>
    <w:rsid w:val="003C6E7F"/>
    <w:rsid w:val="003E0E95"/>
    <w:rsid w:val="003E6171"/>
    <w:rsid w:val="003F1C70"/>
    <w:rsid w:val="003F2E47"/>
    <w:rsid w:val="004029D7"/>
    <w:rsid w:val="00403544"/>
    <w:rsid w:val="004115AA"/>
    <w:rsid w:val="00434C92"/>
    <w:rsid w:val="00443C47"/>
    <w:rsid w:val="00452560"/>
    <w:rsid w:val="00453C3F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24F7"/>
    <w:rsid w:val="00593055"/>
    <w:rsid w:val="00596DDF"/>
    <w:rsid w:val="005B6EAB"/>
    <w:rsid w:val="005D7AC7"/>
    <w:rsid w:val="00606409"/>
    <w:rsid w:val="00623E65"/>
    <w:rsid w:val="00630E69"/>
    <w:rsid w:val="006362B2"/>
    <w:rsid w:val="00653375"/>
    <w:rsid w:val="0065420A"/>
    <w:rsid w:val="006869EC"/>
    <w:rsid w:val="00687EC1"/>
    <w:rsid w:val="00694A44"/>
    <w:rsid w:val="00696673"/>
    <w:rsid w:val="006B014E"/>
    <w:rsid w:val="006B1024"/>
    <w:rsid w:val="006D0AA4"/>
    <w:rsid w:val="006F2513"/>
    <w:rsid w:val="006F555E"/>
    <w:rsid w:val="006F64CB"/>
    <w:rsid w:val="00716EC3"/>
    <w:rsid w:val="0071759F"/>
    <w:rsid w:val="0072206E"/>
    <w:rsid w:val="007253B3"/>
    <w:rsid w:val="00731D46"/>
    <w:rsid w:val="00734BAD"/>
    <w:rsid w:val="00752C57"/>
    <w:rsid w:val="007651CE"/>
    <w:rsid w:val="0077055E"/>
    <w:rsid w:val="0077450C"/>
    <w:rsid w:val="00781733"/>
    <w:rsid w:val="00790098"/>
    <w:rsid w:val="007C5CF9"/>
    <w:rsid w:val="007D340B"/>
    <w:rsid w:val="007E1FEC"/>
    <w:rsid w:val="007E6392"/>
    <w:rsid w:val="007E674E"/>
    <w:rsid w:val="007F3C25"/>
    <w:rsid w:val="00811F2D"/>
    <w:rsid w:val="00815938"/>
    <w:rsid w:val="00815DB6"/>
    <w:rsid w:val="008226BA"/>
    <w:rsid w:val="00827DA6"/>
    <w:rsid w:val="00827EFF"/>
    <w:rsid w:val="00835103"/>
    <w:rsid w:val="00852405"/>
    <w:rsid w:val="00854416"/>
    <w:rsid w:val="00856D55"/>
    <w:rsid w:val="00866F54"/>
    <w:rsid w:val="00883FF2"/>
    <w:rsid w:val="0089293E"/>
    <w:rsid w:val="00893E6C"/>
    <w:rsid w:val="008C2507"/>
    <w:rsid w:val="008D7BC7"/>
    <w:rsid w:val="0090104C"/>
    <w:rsid w:val="009060FB"/>
    <w:rsid w:val="009072CE"/>
    <w:rsid w:val="009410EB"/>
    <w:rsid w:val="00971BA6"/>
    <w:rsid w:val="00982B10"/>
    <w:rsid w:val="009B7B51"/>
    <w:rsid w:val="009C0267"/>
    <w:rsid w:val="009E0AFF"/>
    <w:rsid w:val="009E5354"/>
    <w:rsid w:val="00A10F1E"/>
    <w:rsid w:val="00A12A0C"/>
    <w:rsid w:val="00A20C8E"/>
    <w:rsid w:val="00A2794D"/>
    <w:rsid w:val="00A30F16"/>
    <w:rsid w:val="00A365D5"/>
    <w:rsid w:val="00A41DB8"/>
    <w:rsid w:val="00A43094"/>
    <w:rsid w:val="00A53361"/>
    <w:rsid w:val="00A5599D"/>
    <w:rsid w:val="00A5786D"/>
    <w:rsid w:val="00A60191"/>
    <w:rsid w:val="00A81609"/>
    <w:rsid w:val="00A85237"/>
    <w:rsid w:val="00A93523"/>
    <w:rsid w:val="00AB07C5"/>
    <w:rsid w:val="00AE1FDF"/>
    <w:rsid w:val="00AE3042"/>
    <w:rsid w:val="00B03B29"/>
    <w:rsid w:val="00B16C8F"/>
    <w:rsid w:val="00B32FA4"/>
    <w:rsid w:val="00B36F46"/>
    <w:rsid w:val="00B47B13"/>
    <w:rsid w:val="00B508A0"/>
    <w:rsid w:val="00B53BE4"/>
    <w:rsid w:val="00B6063F"/>
    <w:rsid w:val="00B9042A"/>
    <w:rsid w:val="00B922E1"/>
    <w:rsid w:val="00BA0855"/>
    <w:rsid w:val="00BA65AD"/>
    <w:rsid w:val="00BC7696"/>
    <w:rsid w:val="00BD5C8F"/>
    <w:rsid w:val="00C2671D"/>
    <w:rsid w:val="00C563AA"/>
    <w:rsid w:val="00C57FD3"/>
    <w:rsid w:val="00C71FF0"/>
    <w:rsid w:val="00C77259"/>
    <w:rsid w:val="00C97E2D"/>
    <w:rsid w:val="00D02C0E"/>
    <w:rsid w:val="00D043D7"/>
    <w:rsid w:val="00D05D0C"/>
    <w:rsid w:val="00D117FB"/>
    <w:rsid w:val="00D23C2E"/>
    <w:rsid w:val="00D31CCE"/>
    <w:rsid w:val="00D61EC8"/>
    <w:rsid w:val="00D93516"/>
    <w:rsid w:val="00DA7F4C"/>
    <w:rsid w:val="00DC5F94"/>
    <w:rsid w:val="00DE152F"/>
    <w:rsid w:val="00DE293B"/>
    <w:rsid w:val="00E05626"/>
    <w:rsid w:val="00E10C39"/>
    <w:rsid w:val="00E25B2F"/>
    <w:rsid w:val="00E34708"/>
    <w:rsid w:val="00E373A5"/>
    <w:rsid w:val="00E66A4D"/>
    <w:rsid w:val="00E72B1C"/>
    <w:rsid w:val="00E96169"/>
    <w:rsid w:val="00E96BAE"/>
    <w:rsid w:val="00EB782C"/>
    <w:rsid w:val="00EC0435"/>
    <w:rsid w:val="00F0780F"/>
    <w:rsid w:val="00F07974"/>
    <w:rsid w:val="00F111D3"/>
    <w:rsid w:val="00F16D54"/>
    <w:rsid w:val="00F6015C"/>
    <w:rsid w:val="00F75715"/>
    <w:rsid w:val="00F857BB"/>
    <w:rsid w:val="00F8622A"/>
    <w:rsid w:val="00FB2E2F"/>
    <w:rsid w:val="00FD300A"/>
    <w:rsid w:val="00FF137F"/>
    <w:rsid w:val="00FF3DEC"/>
    <w:rsid w:val="00FF6959"/>
    <w:rsid w:val="00FF6C14"/>
    <w:rsid w:val="01BE6316"/>
    <w:rsid w:val="02F97371"/>
    <w:rsid w:val="0B6A76AB"/>
    <w:rsid w:val="0C95567D"/>
    <w:rsid w:val="0F496874"/>
    <w:rsid w:val="217F35A7"/>
    <w:rsid w:val="24E73B1F"/>
    <w:rsid w:val="26F03C06"/>
    <w:rsid w:val="2A0E1E64"/>
    <w:rsid w:val="2A547683"/>
    <w:rsid w:val="2BA300AA"/>
    <w:rsid w:val="2CA1544B"/>
    <w:rsid w:val="51470B2F"/>
    <w:rsid w:val="57964064"/>
    <w:rsid w:val="63BB5321"/>
    <w:rsid w:val="64A34CE8"/>
    <w:rsid w:val="64E4746F"/>
    <w:rsid w:val="667765BF"/>
    <w:rsid w:val="670270BC"/>
    <w:rsid w:val="6C6E34C8"/>
    <w:rsid w:val="7775238E"/>
    <w:rsid w:val="7A8638D9"/>
    <w:rsid w:val="7AEF60A0"/>
    <w:rsid w:val="7E7E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7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Hyperlink"/>
    <w:basedOn w:val="15"/>
    <w:unhideWhenUsed/>
    <w:qFormat/>
    <w:uiPriority w:val="99"/>
    <w:rPr>
      <w:color w:val="0563C1" w:themeColor="hyperlink"/>
      <w:u w:val="single"/>
    </w:rPr>
  </w:style>
  <w:style w:type="character" w:styleId="17">
    <w:name w:val="annotation reference"/>
    <w:basedOn w:val="15"/>
    <w:semiHidden/>
    <w:unhideWhenUsed/>
    <w:qFormat/>
    <w:uiPriority w:val="99"/>
    <w:rPr>
      <w:sz w:val="21"/>
      <w:szCs w:val="21"/>
    </w:rPr>
  </w:style>
  <w:style w:type="character" w:customStyle="1" w:styleId="18">
    <w:name w:val="标题 1 Char"/>
    <w:basedOn w:val="15"/>
    <w:link w:val="2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页眉 Char"/>
    <w:basedOn w:val="15"/>
    <w:link w:val="9"/>
    <w:qFormat/>
    <w:uiPriority w:val="99"/>
    <w:rPr>
      <w:sz w:val="18"/>
      <w:szCs w:val="18"/>
    </w:rPr>
  </w:style>
  <w:style w:type="character" w:customStyle="1" w:styleId="21">
    <w:name w:val="页脚 Char"/>
    <w:basedOn w:val="15"/>
    <w:link w:val="8"/>
    <w:qFormat/>
    <w:uiPriority w:val="99"/>
    <w:rPr>
      <w:sz w:val="18"/>
      <w:szCs w:val="18"/>
    </w:rPr>
  </w:style>
  <w:style w:type="character" w:customStyle="1" w:styleId="22">
    <w:name w:val="批注框文本 Char"/>
    <w:basedOn w:val="15"/>
    <w:link w:val="7"/>
    <w:semiHidden/>
    <w:qFormat/>
    <w:uiPriority w:val="99"/>
    <w:rPr>
      <w:sz w:val="18"/>
      <w:szCs w:val="18"/>
    </w:rPr>
  </w:style>
  <w:style w:type="paragraph" w:customStyle="1" w:styleId="23">
    <w:name w:val="标题1"/>
    <w:basedOn w:val="2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4">
    <w:name w:val="标题 2 Char"/>
    <w:basedOn w:val="1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5">
    <w:name w:val="标题2"/>
    <w:basedOn w:val="3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6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27">
    <w:name w:val="闻政正文 Char"/>
    <w:link w:val="28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8">
    <w:name w:val="闻政正文"/>
    <w:basedOn w:val="1"/>
    <w:link w:val="27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9">
    <w:name w:val="闻政表 Char"/>
    <w:link w:val="30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闻政表"/>
    <w:basedOn w:val="1"/>
    <w:link w:val="29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2">
    <w:name w:val="闻政标题3 Char"/>
    <w:link w:val="33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3">
    <w:name w:val="闻政标题3"/>
    <w:basedOn w:val="4"/>
    <w:link w:val="32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4">
    <w:name w:val="标题 3 Char"/>
    <w:basedOn w:val="15"/>
    <w:link w:val="4"/>
    <w:semiHidden/>
    <w:qFormat/>
    <w:uiPriority w:val="9"/>
    <w:rPr>
      <w:b/>
      <w:bCs/>
      <w:sz w:val="32"/>
      <w:szCs w:val="32"/>
    </w:rPr>
  </w:style>
  <w:style w:type="paragraph" w:customStyle="1" w:styleId="35">
    <w:name w:val="Body text|1"/>
    <w:basedOn w:val="1"/>
    <w:link w:val="36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6">
    <w:name w:val="Body text|1_"/>
    <w:basedOn w:val="15"/>
    <w:link w:val="35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036D0A-CA28-4E86-ABB2-4FA8DAD30D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9</Pages>
  <Words>486</Words>
  <Characters>2771</Characters>
  <Lines>23</Lines>
  <Paragraphs>6</Paragraphs>
  <TotalTime>9</TotalTime>
  <ScaleCrop>false</ScaleCrop>
  <LinksUpToDate>false</LinksUpToDate>
  <CharactersWithSpaces>3251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Administrator</cp:lastModifiedBy>
  <dcterms:modified xsi:type="dcterms:W3CDTF">2020-09-05T07:14:50Z</dcterms:modified>
  <dc:title>新疆普天鹏华商务信息咨询有限公司</dc:title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