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教育</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新疆喀什地区少数民族小学教师培训中心2019年度部门决算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坚持“以人为本，德育为先”的理念，深入落实科学发展观，以创建平安和谐校园为目标以课程改革为契机，全面实施各县乡市少数民族在岗小学教师国家通用语言文字强化达标素质教育中期培训任务，中小学书记校长班培训等，积极推进依法治校工作。隶属于喀什地区教育局管理，机构规格相当于正县级，内设12个机构，机内机构规格相当正科级，编制39名。</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新疆喀什地区少数民族小学教师培训中心2</w:t>
      </w:r>
      <w:r>
        <w:rPr>
          <w:rFonts w:ascii="仿宋_GB2312" w:eastAsia="仿宋_GB2312"/>
          <w:sz w:val="32"/>
          <w:szCs w:val="32"/>
        </w:rPr>
        <w:t>019</w:t>
      </w:r>
      <w:r>
        <w:rPr>
          <w:rFonts w:hint="eastAsia" w:ascii="仿宋_GB2312" w:eastAsia="仿宋_GB2312"/>
          <w:sz w:val="32"/>
          <w:szCs w:val="32"/>
        </w:rPr>
        <w:t>年度，实有人数19人，其中：在职人员17人，离休人员0人，退休人员2人。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从部门决算单位构成看，新疆喀什地区少数民族小学教师培训中心部门决算包括：新疆喀什地区少数民族小学教师培训中心决算。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2019年度本年收入986.17万元，与上年相比，增加250.45万元，增长34.04%，主要原因是：</w:t>
      </w:r>
      <w:r>
        <w:rPr>
          <w:rFonts w:hint="eastAsia" w:ascii="仿宋_GB2312" w:eastAsia="仿宋_GB2312"/>
          <w:color w:val="000000" w:themeColor="text1"/>
          <w:sz w:val="32"/>
          <w:szCs w:val="32"/>
          <w14:textFill>
            <w14:solidFill>
              <w14:schemeClr w14:val="tx1"/>
            </w14:solidFill>
          </w14:textFill>
        </w:rPr>
        <w:t>2019年为骨干教师教育计划毕收官年，教育计划资金全部拨付到位,相应收入增加。</w:t>
      </w:r>
      <w:r>
        <w:rPr>
          <w:rFonts w:hint="eastAsia" w:ascii="仿宋_GB2312" w:eastAsia="仿宋_GB2312"/>
          <w:sz w:val="32"/>
          <w:szCs w:val="32"/>
        </w:rPr>
        <w:t>本年支出828.65万元，与上年相比，增加92.93万元，增长12.63%，主要原因是：</w:t>
      </w:r>
      <w:r>
        <w:rPr>
          <w:rFonts w:hint="eastAsia" w:ascii="仿宋_GB2312" w:eastAsia="仿宋_GB2312"/>
          <w:color w:val="000000" w:themeColor="text1"/>
          <w:sz w:val="32"/>
          <w:szCs w:val="32"/>
          <w14:textFill>
            <w14:solidFill>
              <w14:schemeClr w14:val="tx1"/>
            </w14:solidFill>
          </w14:textFill>
        </w:rPr>
        <w:t>2019年培训人数及培训次数较上年增加，相应的支出增加。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年度本年收入986.17万元，其中：财政拨款收入675.31万元，占68.48%；上级补助收入0万元，占0%；事业收入2.66万元，占0.27%；经营收入0万元，占0%；附属单位上缴收入0万元，占0%；其他收入308.20万元，占31.25%。</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2019年度本年支出828.65万元，其中：基本支出298.23万元，占35.99%；项目支出530.42万元，占64.01%；上缴上级支出0万元，占0%；经营支出0万元，占0%；对附属单位补助支出0万元，占0%。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675.31万元，与上年相比，增加64.88万元，增长10.63%，主要原因是：2019年为骨干教师教育计划收官年，教育计划资金全部拨付到位，相应收入增加。财政拨款支出675.31万元，与上年相比，增加64.88万元，增长10.63%，主要原因是：</w:t>
      </w:r>
      <w:r>
        <w:rPr>
          <w:rFonts w:ascii="仿宋_GB2312" w:eastAsia="仿宋_GB2312"/>
          <w:sz w:val="32"/>
          <w:szCs w:val="32"/>
        </w:rPr>
        <w:t>2019年培训人数及培训次数较上年增加，相应的支出增加。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405.53</w:t>
      </w:r>
      <w:r>
        <w:rPr>
          <w:rFonts w:hint="eastAsia" w:ascii="仿宋_GB2312" w:eastAsia="仿宋_GB2312"/>
          <w:sz w:val="32"/>
          <w:szCs w:val="32"/>
        </w:rPr>
        <w:t>万元，决算数675.31万元</w:t>
      </w:r>
      <w:r>
        <w:rPr>
          <w:rFonts w:ascii="仿宋_GB2312" w:eastAsia="仿宋_GB2312"/>
          <w:color w:val="000000" w:themeColor="text1"/>
          <w:sz w:val="32"/>
          <w:szCs w:val="32"/>
          <w14:textFill>
            <w14:solidFill>
              <w14:schemeClr w14:val="tx1"/>
            </w14:solidFill>
          </w14:textFill>
        </w:rPr>
        <w:t>，预决算差异率66.53%，主要原因是：2019年拨付的项目资金未列入年初预算。</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785.27</w:t>
      </w:r>
      <w:r>
        <w:rPr>
          <w:rFonts w:hint="eastAsia" w:ascii="仿宋_GB2312" w:eastAsia="仿宋_GB2312"/>
          <w:sz w:val="32"/>
          <w:szCs w:val="32"/>
        </w:rPr>
        <w:t>万元，决算数675.31万元</w:t>
      </w:r>
      <w:r>
        <w:rPr>
          <w:rFonts w:ascii="仿宋_GB2312" w:eastAsia="仿宋_GB2312"/>
          <w:color w:val="000000" w:themeColor="text1"/>
          <w:sz w:val="32"/>
          <w:szCs w:val="32"/>
          <w14:textFill>
            <w14:solidFill>
              <w14:schemeClr w14:val="tx1"/>
            </w14:solidFill>
          </w14:textFill>
        </w:rPr>
        <w:t>，预决算差异率-14%，主要原因是：去年退休3人，相应的人员经费减少。</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年度一般公共预算财政拨款支出675.31万元。按功能分类科目项级科目公开，其中：</w:t>
      </w:r>
    </w:p>
    <w:p>
      <w:pPr>
        <w:rPr>
          <w:rFonts w:ascii="仿宋_GB2312" w:eastAsia="仿宋_GB2312"/>
          <w:sz w:val="32"/>
          <w:szCs w:val="32"/>
        </w:rPr>
      </w:pPr>
      <w:r>
        <w:rPr>
          <w:rFonts w:ascii="仿宋_GB2312" w:eastAsia="仿宋_GB2312"/>
          <w:sz w:val="32"/>
          <w:szCs w:val="32"/>
        </w:rPr>
        <w:t xml:space="preserve">   2050203初中教育支出65.64万元；</w:t>
      </w:r>
      <w:r>
        <w:rPr>
          <w:rFonts w:ascii="仿宋_GB2312" w:eastAsia="仿宋_GB2312"/>
          <w:sz w:val="32"/>
          <w:szCs w:val="32"/>
        </w:rPr>
        <w:br w:type="textWrapping"/>
      </w:r>
      <w:r>
        <w:rPr>
          <w:rFonts w:ascii="仿宋_GB2312" w:eastAsia="仿宋_GB2312"/>
          <w:sz w:val="32"/>
          <w:szCs w:val="32"/>
        </w:rPr>
        <w:t xml:space="preserve">   2050299其他普通教育支出59.76万元；</w:t>
      </w:r>
      <w:r>
        <w:rPr>
          <w:rFonts w:ascii="仿宋_GB2312" w:eastAsia="仿宋_GB2312"/>
          <w:sz w:val="32"/>
          <w:szCs w:val="32"/>
        </w:rPr>
        <w:br w:type="textWrapping"/>
      </w:r>
      <w:r>
        <w:rPr>
          <w:rFonts w:ascii="仿宋_GB2312" w:eastAsia="仿宋_GB2312"/>
          <w:sz w:val="32"/>
          <w:szCs w:val="32"/>
        </w:rPr>
        <w:t xml:space="preserve">   2050801教师进修支出252.19万元；</w:t>
      </w:r>
      <w:r>
        <w:rPr>
          <w:rFonts w:ascii="仿宋_GB2312" w:eastAsia="仿宋_GB2312"/>
          <w:sz w:val="32"/>
          <w:szCs w:val="32"/>
        </w:rPr>
        <w:br w:type="textWrapping"/>
      </w:r>
      <w:r>
        <w:rPr>
          <w:rFonts w:ascii="仿宋_GB2312" w:eastAsia="仿宋_GB2312"/>
          <w:sz w:val="32"/>
          <w:szCs w:val="32"/>
        </w:rPr>
        <w:t xml:space="preserve">   2050899其他进修及培训支出254.34万元；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2080505机关事业单位基本养老保险缴费支出30.78万元；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2080506机关事业单位职业年金缴费支出12.61万元。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年度一般公共预算财政拨款基本支出295.57万元，其中：</w:t>
      </w:r>
    </w:p>
    <w:p>
      <w:pPr>
        <w:ind w:firstLine="640" w:firstLineChars="200"/>
        <w:rPr>
          <w:rFonts w:ascii="仿宋_GB2312" w:eastAsia="仿宋_GB2312"/>
          <w:sz w:val="32"/>
          <w:szCs w:val="32"/>
        </w:rPr>
      </w:pPr>
      <w:r>
        <w:rPr>
          <w:rFonts w:hint="eastAsia" w:ascii="仿宋_GB2312" w:eastAsia="仿宋_GB2312"/>
          <w:sz w:val="32"/>
          <w:szCs w:val="32"/>
        </w:rPr>
        <w:t>人员经费295.57万元，包括：基本工资、津贴补贴、奖金、绩效工资、机关事业单位基本养老保险缴费、职业年金缴费、职工基本医疗保险缴费、住房公积金、退休费。</w:t>
      </w:r>
    </w:p>
    <w:p>
      <w:pPr>
        <w:ind w:firstLine="640" w:firstLineChars="200"/>
        <w:rPr>
          <w:rFonts w:ascii="仿宋_GB2312" w:eastAsia="仿宋_GB2312"/>
          <w:sz w:val="32"/>
          <w:szCs w:val="32"/>
        </w:rPr>
      </w:pPr>
      <w:r>
        <w:rPr>
          <w:rFonts w:hint="eastAsia" w:ascii="仿宋_GB2312" w:eastAsia="仿宋_GB2312"/>
          <w:sz w:val="32"/>
          <w:szCs w:val="32"/>
        </w:rPr>
        <w:t>公用经费0万元，包括：无。</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w:t>
      </w:r>
      <w:r>
        <w:rPr>
          <w:rFonts w:hint="eastAsia" w:ascii="仿宋_GB2312" w:eastAsia="仿宋_GB2312"/>
          <w:color w:val="000000" w:themeColor="text1"/>
          <w:sz w:val="32"/>
          <w:szCs w:val="32"/>
          <w14:textFill>
            <w14:solidFill>
              <w14:schemeClr w14:val="tx1"/>
            </w14:solidFill>
          </w14:textFill>
        </w:rPr>
        <w:t>无差异</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新疆喀什地区少数民族小学教师培训中心日常公用经费0万元，比上年减少0.50万元，降低100%，主要原因是专项工作经费支出减少。</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年度政府采购支出总额15.51万元，其中：政府采购货物支出15.51万元、政府采购工程支出0万元、政府采购服务支出0万元。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授予中小企业合同金额15.51万元，占政府采购支出总额的100%，其中：授予小微企业合同金额15.51万元，占政府采购支出总额的100%。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年12月31日，单位共有房屋65.55（平方米），价值19.07万元。车辆1辆，价值16.46万元，其中：副部（省）级及以上领导用车0辆、主要领导干部用车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1</w:t>
      </w:r>
      <w:r>
        <w:rPr>
          <w:rFonts w:hint="eastAsia" w:ascii="仿宋_GB2312" w:eastAsia="仿宋_GB2312"/>
          <w:sz w:val="32"/>
          <w:szCs w:val="32"/>
        </w:rPr>
        <w:t>辆，其他用车主要是：单位</w:t>
      </w:r>
      <w:r>
        <w:rPr>
          <w:rFonts w:ascii="仿宋_GB2312" w:eastAsia="仿宋_GB2312"/>
          <w:color w:val="000000" w:themeColor="text1"/>
          <w:sz w:val="32"/>
          <w:szCs w:val="32"/>
          <w14:textFill>
            <w14:solidFill>
              <w14:schemeClr w14:val="tx1"/>
            </w14:solidFill>
          </w14:textFill>
        </w:rPr>
        <w:t>一般公务用车；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w:t>
      </w:r>
      <w:r>
        <w:rPr>
          <w:rFonts w:hint="eastAsia" w:ascii="仿宋_GB2312" w:eastAsia="仿宋_GB2312"/>
          <w:sz w:val="32"/>
          <w:szCs w:val="32"/>
          <w:lang w:val="en-US" w:eastAsia="zh-CN"/>
        </w:rPr>
        <w:t>4</w:t>
      </w:r>
      <w:r>
        <w:rPr>
          <w:rFonts w:hint="eastAsia" w:ascii="仿宋_GB2312" w:eastAsia="仿宋_GB2312"/>
          <w:sz w:val="32"/>
          <w:szCs w:val="32"/>
        </w:rPr>
        <w:t>个，共涉及资金379.74万元。预算绩效管理取得的成效：一是</w:t>
      </w:r>
      <w:bookmarkStart w:id="54" w:name="_GoBack"/>
      <w:bookmarkEnd w:id="54"/>
      <w:r>
        <w:rPr>
          <w:rFonts w:hint="eastAsia" w:ascii="仿宋_GB2312" w:eastAsia="仿宋_GB2312"/>
          <w:sz w:val="32"/>
          <w:szCs w:val="32"/>
        </w:rPr>
        <w:t>经济性评价：部门年度任务在预算资金额度内完成，并通过规范的招投标及严格的资金管理及项目管理及其他创新的管理措施实现了资金的节约。三公经费在预算范围内开支，开支范围较上年无变化；二是效率性评价：各项工作计划按预期计划按时完成，效益按预期时间产生；三是效益性评价：预期的经济效益、社会效益、可持续的影响产生，相关人员的满意。发现的问题及原因：通过预算绩效管理，发现了工作中存在的不足，前期资金使用因资金到位较晚、资金使用计划不完整以及项目跨年度等原因未按期支付，导致了资金滞缓，影响了项目的进度，造成了部分资金的浪费。下一步改进措施：年初做好资金计划，按照项目进度及时拨付资金，当年新增项目按照资金用途及时编制资金计划，按照计划加快项目实施，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OqXm5zwAAAAUBAAAPAAAAAAAAAAEAIAAAACIAAABkcnMvZG93bnJldi54&#10;bWxQSwECFAAUAAAACACHTuJA5STQfgMCAAAEBAAADgAAAAAAAAABACAAAAAeAQAAZHJzL2Uyb0Rv&#10;Yy54bWxQSwUGAAAAAAYABgBZAQAAkwU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val="1"/>
  <w:bordersDoNotSurroundFooter w:val="1"/>
  <w:documentProtection w:edit="comments" w:enforcement="1" w:cryptProviderType="rsaFull" w:cryptAlgorithmClass="hash" w:cryptAlgorithmType="typeAny" w:cryptAlgorithmSid="4" w:cryptSpinCount="0" w:hash="gYhOB9zA464TI/rodUBHhQG80U8=" w:salt="TOHBEF394/pYvGuXbQgAw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0C64"/>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505F9"/>
    <w:rsid w:val="00B64D13"/>
    <w:rsid w:val="00B76725"/>
    <w:rsid w:val="00BC38D2"/>
    <w:rsid w:val="00BC65E4"/>
    <w:rsid w:val="00BE0A9F"/>
    <w:rsid w:val="00C01003"/>
    <w:rsid w:val="00C27DF1"/>
    <w:rsid w:val="00C83BB0"/>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120B"/>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2DDD097C"/>
    <w:rsid w:val="31C63837"/>
    <w:rsid w:val="3D5275AC"/>
    <w:rsid w:val="3F355030"/>
    <w:rsid w:val="45E335B4"/>
    <w:rsid w:val="46901EEE"/>
    <w:rsid w:val="469C74D2"/>
    <w:rsid w:val="499C5B11"/>
    <w:rsid w:val="50DB5F45"/>
    <w:rsid w:val="64F00A8A"/>
    <w:rsid w:val="69AD798C"/>
    <w:rsid w:val="6B68175F"/>
    <w:rsid w:val="73FB6630"/>
    <w:rsid w:val="77ED6F44"/>
    <w:rsid w:val="79343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840</Words>
  <Characters>4789</Characters>
  <Lines>39</Lines>
  <Paragraphs>11</Paragraphs>
  <TotalTime>6</TotalTime>
  <ScaleCrop>false</ScaleCrop>
  <LinksUpToDate>false</LinksUpToDate>
  <CharactersWithSpaces>5618</CharactersWithSpaces>
  <Application>WPS Office_11.1.0.10132_F1E327BC-269C-435d-A152-05C5408002CA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都是海</cp:lastModifiedBy>
  <dcterms:modified xsi:type="dcterms:W3CDTF">2020-12-03T11:53:49Z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