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新疆喀什地区教育局2019年度部门决算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1、全面贯彻执行党和国家有关教育工作的方针政策、法律法规，拟订喀什地区落实自治区教育改革与发展政策和规划的措施、方案，并组织实施。      2、负责各级各类教育的统筹规划和综合协调，制定教育事业发展规划和计划，确定教育事业发展重点、规模、速度和步骤，指导各级各类学校的教育教学改革；负责教育基本信息的统计、分析和发布。      3、负责国家通用语言文字宣传规划、规范推广、普及应用等工作；负责国家通用语言文字的社会学习、普及学习和再培养培训。      4、负责民族语言文字规范化、标准化、信息化工作；负责民族语言文字改革工作；负责有关民族语言文字监测研究、科研和文化保护工作；承担民族语言文字翻译专业人才规划和培养培训工作。      5、会同相关部门编制地区级教育经费和项目预算，规划实施并监督管理；落实国家、自治区教育经费筹措、管理和学生资助的政策；协调指导全地区各级各类学校学生资管理工作。      6、指导各级各类学校的思想政治建设和德育工作、体育卫生艺术教育、劳动实践教育和科学教育，协助有关部门做好学校国防教育和军训工作。      7、指导教育系统单位、各级各类学校的安全和政治保卫；做好应急协调和督促落实工作。      8、负责义务教育的宏观指导和协调，推进义务教育均衡发展，促进教育公平；指导普通高中教育、学前教育、特殊教育和民办教育工作。      9、统筹指导职业教育发展改革和职业指导工作；参与拟订中高职院校毕业生就业政策，指导开展就业创业工作。      10、指导教育系统人才队伍建设，主管教师培养规划和组织实施工作，负贲公费师范毕业生就业管理服务工作；负责教师资格认定和继续教育等工作；组织、指导教育系统专业技术职务评聘和民族语言文字翻译职称评定工作。      11、负责管理学历教育及其考试工作，统筹各级各类招生计划并组织实施。      12、承担行署教育督导委员会的具体工作，制定教育督导计划和评估方案，并进行指导、监督、检查和评估。      13、完成地委、行署交办的其他任务。</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新疆喀什地区教育局2019年度，实有人数195人，其中：在职人员113人，离休人员0人，退休人员82人。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从部门决算单位构成看，新疆喀什地区教育局部门决算包括：新疆喀什地区教育局决算。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4,557.19万元，与上年相比，减少225.38万元，下降4.71%，主要原因是：一是基本收入减少107.29万元，全年在职人员调出、辞职、去世合计10人；二是项目收入减少了新疆西藏等地区教育特殊补助专项资金597.09万元，减少了教师专业理论考试项目92.65万元、中小学教师继续教育抽考12.3万元、不胜任教师过关考核项目10万元（原因是2019年无教师专业理论考试项目，该项目两年实施一次，2018年已实施，故2019年无此类项目）；三是中小学教育质量评价阅卷设备购置项目68.4万元，于2018年完成,2019无此项目。本年支出4,470.98万元，与上年相比，减少399.62万元，下降8.2%，主要原因是：一是基本支出减少107.29万元，全年在职人员调出、辞职、去世合计10人；二是项目支出减少了新疆西藏等地区教育特殊补助专项资金597.09万元，减少了教师专业理论考试项目92.65万元、中小学教师继续教育抽考12.3万元、不胜任教师过关考核项目10万元（原因是2019年无教师专业理论考试项目，该项目两年实施一次，2018年已实施，故2019年无此类项目）；三是中小学教育质量评价阅卷设备购置项目68.4万元，于2018年完成,2019无此项目。</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4,557.19万元，其中：财政拨款收入3,385.91万元，占74.3%；上级补助收入0万元，占0%；事业收入1,061.31万元，占23.29%；经营收入0万元，占0%；附属单位上缴收入0万元，占0%；其他收入109.98万元，占2.41%。</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2019年度本年支出4,470.98万元，其中：基本支出2,274.05万元，占50.86%；项目支出2,196.93万元，占49.14%；上缴上级支出0万元，占0%；经营支出0万元，占0%；对附属单位补助支出0万元，占0%。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3,385.91万元，与上年相比，减少400.34万元，下降10.57%，主要原因是：一是基本收入减少107.29万元，全年在职人员调出、辞职、去世合计10人；二是项目收入减少了新疆西藏等地区教育特殊补助专项资金597.09万元，减少了教师专业理论考试项目92.65万元、中小学教师继续教育抽考12.3万元、不胜任教师过关考核项目10万元（原因是2019年无教师专业理论考试项目，该项目两年实施一次，2018年已实施，故2019年无此类项目）；三是中小学教育质量评价阅卷设备购置项目68.4万元，于2018年完成,2019无此项目。财政拨款支出3,385.91万元，与上年相比，减少448.97万元，下降11.71%，主要原因是：一是基本支出减少107.29万元，全年在职人员调出、辞职、去世合计10人；二是项目支出减少了新疆西藏等地区教育特殊补助专项资金597.09万元，减少了教师专业理论考试项目92.65万元、中小学教师继续教育抽考12.3万元、不胜任教师过关考核项目10万元（原因是2019年无教师专业理论考试项目，该项目两年实施一次，2018年已实施，故2019年无此类项目）；三是中小学教育质量评价阅卷设备购置项目68.4万元，于2018年完成,2019无此项目。</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2,557.38万元，决算数3,385.91万元，预决算差异率32.4%，主要原因是：当年自治区大学生实习计划项目资金及三区人才教育援助专项资金年初未纳入预算。财政拨款支出年初预算数2,557.38万元，决算数3,385.91万元，预决算差异率32.4%，主要原因是：当年自治区大学生实习计划项目资金及三区人才教育援助专项资金年初未纳入预算。</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2019年度一般公共预算财政拨款支出3,385.91万元。按功能分类科目项级科目公开，其中：</w:t>
      </w:r>
    </w:p>
    <w:p>
      <w:pPr>
        <w:ind w:firstLine="480"/>
      </w:pPr>
      <w:r>
        <w:rPr>
          <w:rFonts w:ascii="仿宋_GB2312" w:hAnsi="仿宋_GB2312" w:eastAsia="仿宋_GB2312" w:cs="仿宋_GB2312"/>
          <w:sz w:val="32"/>
        </w:rPr>
        <w:t xml:space="preserve">   2299901其他支出104万元。</w:t>
      </w:r>
    </w:p>
    <w:p>
      <w:pPr>
        <w:ind w:firstLine="480"/>
      </w:pPr>
      <w:r>
        <w:rPr>
          <w:rFonts w:ascii="仿宋_GB2312" w:hAnsi="仿宋_GB2312" w:eastAsia="仿宋_GB2312" w:cs="仿宋_GB2312"/>
          <w:sz w:val="32"/>
        </w:rPr>
        <w:t xml:space="preserve">   2080506机关事业单位职业年金缴费支出31.57万元；</w:t>
      </w:r>
    </w:p>
    <w:p>
      <w:pPr>
        <w:ind w:firstLine="480"/>
      </w:pPr>
      <w:r>
        <w:rPr>
          <w:rFonts w:ascii="仿宋_GB2312" w:hAnsi="仿宋_GB2312" w:eastAsia="仿宋_GB2312" w:cs="仿宋_GB2312"/>
          <w:sz w:val="32"/>
        </w:rPr>
        <w:t xml:space="preserve">   2080505机关事业单位基本养老保险缴费支出215.81万元；</w:t>
      </w:r>
    </w:p>
    <w:p>
      <w:pPr>
        <w:ind w:firstLine="480"/>
      </w:pPr>
      <w:r>
        <w:rPr>
          <w:rFonts w:ascii="仿宋_GB2312" w:hAnsi="仿宋_GB2312" w:eastAsia="仿宋_GB2312" w:cs="仿宋_GB2312"/>
          <w:sz w:val="32"/>
        </w:rPr>
        <w:t xml:space="preserve">   2050399其他职业教育支出156万元；</w:t>
      </w:r>
    </w:p>
    <w:p>
      <w:pPr>
        <w:ind w:firstLine="480"/>
      </w:pPr>
      <w:r>
        <w:rPr>
          <w:rFonts w:ascii="仿宋_GB2312" w:hAnsi="仿宋_GB2312" w:eastAsia="仿宋_GB2312" w:cs="仿宋_GB2312"/>
          <w:sz w:val="32"/>
        </w:rPr>
        <w:t xml:space="preserve">   2050305高等职业教育支出28.61万元；</w:t>
      </w:r>
    </w:p>
    <w:p>
      <w:pPr>
        <w:ind w:firstLine="480"/>
      </w:pPr>
      <w:r>
        <w:rPr>
          <w:rFonts w:ascii="仿宋_GB2312" w:hAnsi="仿宋_GB2312" w:eastAsia="仿宋_GB2312" w:cs="仿宋_GB2312"/>
          <w:sz w:val="32"/>
        </w:rPr>
        <w:t xml:space="preserve">   2050299其他普通教育支出641.44万元；</w:t>
      </w:r>
    </w:p>
    <w:p>
      <w:pPr>
        <w:ind w:firstLine="480"/>
      </w:pPr>
      <w:r>
        <w:rPr>
          <w:rFonts w:ascii="仿宋_GB2312" w:hAnsi="仿宋_GB2312" w:eastAsia="仿宋_GB2312" w:cs="仿宋_GB2312"/>
          <w:sz w:val="32"/>
        </w:rPr>
        <w:t xml:space="preserve">   2050205高等教育支出30万元；</w:t>
      </w:r>
    </w:p>
    <w:p>
      <w:pPr>
        <w:ind w:firstLine="480"/>
      </w:pPr>
      <w:r>
        <w:rPr>
          <w:rFonts w:ascii="仿宋_GB2312" w:hAnsi="仿宋_GB2312" w:eastAsia="仿宋_GB2312" w:cs="仿宋_GB2312"/>
          <w:sz w:val="32"/>
        </w:rPr>
        <w:t xml:space="preserve">   2050203初中教育支出35.85万元；</w:t>
      </w:r>
    </w:p>
    <w:p>
      <w:pPr>
        <w:ind w:firstLine="480"/>
      </w:pPr>
      <w:r>
        <w:rPr>
          <w:rFonts w:ascii="仿宋_GB2312" w:hAnsi="仿宋_GB2312" w:eastAsia="仿宋_GB2312" w:cs="仿宋_GB2312"/>
          <w:sz w:val="32"/>
        </w:rPr>
        <w:t xml:space="preserve">   2050199其他教育管理事务支出1,397.05万元；</w:t>
      </w:r>
    </w:p>
    <w:p>
      <w:pPr>
        <w:ind w:firstLine="480"/>
      </w:pPr>
      <w:r>
        <w:rPr>
          <w:rFonts w:ascii="仿宋_GB2312" w:hAnsi="仿宋_GB2312" w:eastAsia="仿宋_GB2312" w:cs="仿宋_GB2312"/>
          <w:sz w:val="32"/>
        </w:rPr>
        <w:t xml:space="preserve">   2050102一般行政管理事务支出49.84万元；</w:t>
      </w:r>
    </w:p>
    <w:p>
      <w:pPr>
        <w:ind w:firstLine="480"/>
      </w:pPr>
      <w:r>
        <w:rPr>
          <w:rFonts w:ascii="仿宋_GB2312" w:hAnsi="仿宋_GB2312" w:eastAsia="仿宋_GB2312" w:cs="仿宋_GB2312"/>
          <w:sz w:val="32"/>
        </w:rPr>
        <w:t xml:space="preserve">   2050101行政运行支出695.75万元；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2019年度一般公共预算财政拨款基本支出2,137.79万元，其中：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2,115.13万元，包括：基本工资、津贴补贴、奖金、绩效工资、机关事业单位基本养老保险缴费、职业年金缴费、职工基本医疗保险缴费、公务员医疗补助缴费、其他社会保障缴费、住房公积金、其他工资福利支出、离休费、退休费、抚恤金、生活补助、奖励金、个人农业生产补贴。</w:t>
      </w:r>
    </w:p>
    <w:p>
      <w:pPr>
        <w:ind w:firstLine="640" w:firstLineChars="200"/>
        <w:rPr>
          <w:rFonts w:ascii="仿宋_GB2312" w:eastAsia="仿宋_GB2312"/>
          <w:sz w:val="32"/>
          <w:szCs w:val="32"/>
        </w:rPr>
      </w:pPr>
      <w:r>
        <w:rPr>
          <w:rFonts w:ascii="仿宋_GB2312" w:hAnsi="仿宋_GB2312" w:eastAsia="仿宋_GB2312" w:cs="仿宋_GB2312"/>
          <w:sz w:val="32"/>
        </w:rPr>
        <w:t>公用经费22.66万元，包括：办公费、专用材料费、其他交通费用、其他商品和服务支出</w:t>
      </w:r>
      <w:r>
        <w:rPr>
          <w:rFonts w:hint="eastAsia" w:ascii="仿宋_GB2312" w:hAnsi="仿宋_GB2312" w:eastAsia="仿宋_GB2312" w:cs="仿宋_GB2312"/>
          <w:sz w:val="32"/>
          <w:lang w:eastAsia="zh-CN"/>
        </w:rPr>
        <w:t>、</w:t>
      </w:r>
      <w:r>
        <w:rPr>
          <w:rFonts w:hint="eastAsia" w:ascii="仿宋_GB2312" w:eastAsia="仿宋_GB2312"/>
          <w:sz w:val="32"/>
          <w:szCs w:val="32"/>
          <w:lang w:eastAsia="zh-CN"/>
        </w:rPr>
        <w:t>办公设备购置</w:t>
      </w:r>
      <w:bookmarkStart w:id="54" w:name="_GoBack"/>
      <w:bookmarkEnd w:id="54"/>
      <w:r>
        <w:rPr>
          <w:rFonts w:ascii="仿宋_GB2312" w:hAnsi="仿宋_GB2312" w:eastAsia="仿宋_GB2312" w:cs="仿宋_GB2312"/>
          <w:sz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0万元，决算数0万元，预决算差异率0%，主要原因是：预决算数据一致，无差异。其中：因公出国（境）费预算数0万元，决算数0万元，预决算差异率0%，主要原因是：预算未安排，无此项支出；公务用车购置费预算数0万元，决算数0万元，预决算差异率0%，主要原因是：预算未安排，无此项支出；公务用车运行费预算数0万元，决算数0万元，预决算差异率0%，主要原因是：预算未安排，无此项支出；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2019年度新疆喀什地区教育局机关运行经费支出22.66万元，比上年增加5.71万元，增长33.69%，主要原因是2019年决算将2018年原下属处室（事业科室）并入机关，机关运行经费增加。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2019年度政府采购支出总额83.63万元，其中：政府采购货物支出83.63万元、政府采购工程支出0万元、政府采购服务支出0万元。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授予中小企业合同金额83.63万元，占政府采购支出总额的100%，其中：授予小微企业合同金额83.63万元，占政府采购支出总额的100%。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2,338.74（平方米），价值95.07万元。车辆8辆，价值219.57万元，其中：副部（省）级及以上领导用车0辆、主要领导干部用车0辆、机要通信用车0辆、应急保障用车0辆、执法执勤用车0辆、特种专业技术用车0辆、离退休干部用车0辆、其他用车8辆，其他用车主要是：单位一般公务用车5辆，拉运试卷车3辆；单位价值50万元以上通用设备6台（套）、单位价值100万元以上专用设备6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w:t>
      </w:r>
      <w:r>
        <w:rPr>
          <w:rFonts w:hint="eastAsia" w:ascii="仿宋_GB2312" w:hAnsi="仿宋_GB2312" w:eastAsia="仿宋_GB2312" w:cs="仿宋_GB2312"/>
          <w:sz w:val="32"/>
        </w:rPr>
        <w:t>50</w:t>
      </w:r>
      <w:r>
        <w:rPr>
          <w:rFonts w:ascii="仿宋_GB2312" w:hAnsi="仿宋_GB2312" w:eastAsia="仿宋_GB2312" w:cs="仿宋_GB2312"/>
          <w:sz w:val="32"/>
        </w:rPr>
        <w:t>个，共涉及资金</w:t>
      </w:r>
      <w:r>
        <w:rPr>
          <w:rFonts w:hint="eastAsia" w:ascii="仿宋_GB2312" w:hAnsi="仿宋_GB2312" w:eastAsia="仿宋_GB2312" w:cs="仿宋_GB2312"/>
          <w:sz w:val="32"/>
        </w:rPr>
        <w:t>211</w:t>
      </w:r>
      <w:r>
        <w:rPr>
          <w:rFonts w:hint="eastAsia" w:ascii="仿宋_GB2312" w:hAnsi="仿宋_GB2312" w:eastAsia="仿宋_GB2312" w:cs="仿宋_GB2312"/>
          <w:sz w:val="32"/>
          <w:lang w:val="en-US" w:eastAsia="zh-CN"/>
        </w:rPr>
        <w:t>1</w:t>
      </w:r>
      <w:r>
        <w:rPr>
          <w:rFonts w:ascii="仿宋_GB2312" w:hAnsi="仿宋_GB2312" w:eastAsia="仿宋_GB2312" w:cs="仿宋_GB2312"/>
          <w:sz w:val="32"/>
        </w:rPr>
        <w:t>万元。预算绩效管理取得的成效：促进地区教育事业发展，保障各项考试的顺利进行，以及完成各项调研工作，完成各专项工作，推进各县市教育工作的完成，持续为教育事业发展提供良好的环境，为群众提供公共服务能力，提高学生综合素质及能力和学历水平。发现的问题及原因：发现的不足是大多数资金年底支出，导致了资金滞缓，影响了项目的进度，造成了部分资金未使用。原因是各县市较远，报销票据不能及时送达，不能及时报账，今后要加快资金支付进度。下一步改进措施：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bsY1jEVh7N6x8x4dKROrSJYTjTo=" w:salt="aM6NElo8c09X/e0/7C4lJ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82F9E"/>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01570"/>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075ED"/>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0E59B8"/>
    <w:rsid w:val="06792773"/>
    <w:rsid w:val="0CD9672C"/>
    <w:rsid w:val="1DAF458D"/>
    <w:rsid w:val="27AB3CF1"/>
    <w:rsid w:val="2942532B"/>
    <w:rsid w:val="2A053397"/>
    <w:rsid w:val="2A514AD3"/>
    <w:rsid w:val="2D1136DF"/>
    <w:rsid w:val="31C63837"/>
    <w:rsid w:val="33FF3FD1"/>
    <w:rsid w:val="3D5275AC"/>
    <w:rsid w:val="44346BE0"/>
    <w:rsid w:val="46901EEE"/>
    <w:rsid w:val="469C74D2"/>
    <w:rsid w:val="50DB5F45"/>
    <w:rsid w:val="5AFD4A72"/>
    <w:rsid w:val="5DB36BAF"/>
    <w:rsid w:val="61311644"/>
    <w:rsid w:val="63EA6708"/>
    <w:rsid w:val="69AD798C"/>
    <w:rsid w:val="6B68175F"/>
    <w:rsid w:val="73FB6630"/>
    <w:rsid w:val="77A43A52"/>
    <w:rsid w:val="77ED6F44"/>
    <w:rsid w:val="7E9C6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1087</Words>
  <Characters>6202</Characters>
  <Lines>51</Lines>
  <Paragraphs>14</Paragraphs>
  <TotalTime>0</TotalTime>
  <ScaleCrop>false</ScaleCrop>
  <LinksUpToDate>false</LinksUpToDate>
  <CharactersWithSpaces>7275</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2021-07-11T07:53:46Z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