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2018年度新疆维吾尔自治区喀什档案局</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一）贯彻执行党和国家及自治区有关档案工作的方针、政策和法律、法规，研究制定喀什地区档案工作规章和措施，对全区档案工作实行统筹规划、宏观管理；依法进行全区档案工作的行政管理；依法组织、指导、检查、监督、协调喀什地区党政机关、群众团体、大中型型企业、事业单位和各县、市的档案业务工作。(二)集中统一管理地直党政机关的重要档案资料，保守党和国家文件，维护档案的完整，确保档案资料的安全。（三）负责接收、征集、整理地直党政群机关的重要档案，做好各门类档案的科学化和现代化管理工作；负责档案史料的编研出版工作；负责档案信息开发和提供利用工作。(四)制定喀什地区档案工作人员队伍建设规划，组织档案专业干部培训；负责全区档案学理论、档案业务工作和档案管理现代化的研究；负责全区档案专业职称评聘的有关工作；负责全区档案学会工作。（五）完成地委、行署交办的其他工作。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新疆维吾尔自治区喀什档案局</w:t>
      </w:r>
      <w:r>
        <w:rPr>
          <w:rFonts w:ascii="仿宋_GB2312" w:eastAsia="仿宋_GB2312" w:hint="eastAsia"/>
          <w:sz w:val="32"/>
          <w:szCs w:val="32"/>
        </w:rPr>
        <w:t>部门决算包括：</w:t>
      </w:r>
      <w:r>
        <w:rPr>
          <w:rFonts w:ascii="仿宋_GB2312" w:eastAsia="仿宋_GB2312"/>
          <w:sz w:val="32"/>
          <w:szCs w:val="32"/>
        </w:rPr>
        <w:t>新疆维吾尔自治区喀什档案局</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新疆维吾尔自治区喀什档案局</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新疆维吾尔自治区喀什档案局</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358.87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，与上年相比，增加21.11万元，增长6.25%，增加的主要原因是：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一名退休干部去世，收到抚恤金22.69万元；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358.39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，与上年相比，增加14.04万元，增长4.08%，增加的主要原因是：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一名退休干部去世，支付抚恤金22.69万元；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10.44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，与上年相比，增加0.48万元，增长4.82%，增加的主要原因是：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其他应付款，社会保障缴费，未结算。</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358.87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358.87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况：本年收入年初预算数375.46万元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，决算数358.87万元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，预决算差异率-4.42%，差异主要原因是:（1）1人辞职，工资、公积金、社保收入减少。（2）人员减少，教育收入减少。（3）取消了津贴，工资福利收入减少。</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358.39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337.47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94.16%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20.92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5.84%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与年初预算数相比情况：本年支出年初预算数385.42万元，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决算数358.39万元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，预决算差异率-7.01%，差异主要原因是:1人辞职，工资、公积金、社保支出减少；人员减少，教育支出减少；取消了津贴，工资福利支出减少。</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358.87</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，与上年相比，增加41.61万元，增长13.12%，增加的主要原因是：</w:t>
      </w:r>
      <w:r>
        <w:rPr>
          <w:rFonts w:ascii="仿宋_GB2312" w:eastAsia="仿宋_GB2312"/>
          <w:sz w:val="32"/>
          <w:szCs w:val="32"/>
        </w:rPr>
        <w:t/>
      </w:r>
      <w:r>
        <w:rPr>
          <w:rFonts w:ascii="仿宋_GB2312" w:eastAsia="仿宋_GB2312" w:hint="eastAsia"/>
          <w:sz w:val="32"/>
          <w:szCs w:val="32"/>
        </w:rPr>
        <w:t>增加了生活补助收入，一人去世增加了抚恤金补助收入。</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358.39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，与上年相比，增加41.28万元，增长13.02%，增加的主要原因是：</w:t>
      </w:r>
      <w:r>
        <w:rPr>
          <w:rFonts w:ascii="仿宋_GB2312" w:eastAsia="仿宋_GB2312"/>
          <w:sz w:val="32"/>
          <w:szCs w:val="32"/>
        </w:rPr>
        <w:t>增加了生活补助支出，一人去世增加了抚恤金补助支出。</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337.47</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20.92</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1.74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，与上年相比，增加0.48万元，增长38.1%，增加的主要原因是：</w:t>
      </w:r>
      <w:r>
        <w:rPr>
          <w:rFonts w:ascii="仿宋_GB2312" w:eastAsia="仿宋_GB2312"/>
          <w:sz w:val="32"/>
          <w:szCs w:val="32"/>
        </w:rPr>
        <w:t/>
      </w:r>
      <w:r>
        <w:rPr>
          <w:rFonts w:ascii="仿宋_GB2312" w:eastAsia="仿宋_GB2312" w:hint="eastAsia"/>
          <w:sz w:val="32"/>
          <w:szCs w:val="32"/>
        </w:rPr>
        <w:t>其他应付款，社会保障缴费。</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375.46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358.87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，预决算差异率-4.42%，差异主要原因是:1人辞职，工资、公积金、社保收入减少；人员减少，教育支出减少；取消了津贴，工资福利支出减少。</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385.42</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358.39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，预决算差异率-7.01%，差异主要原因是:（1）2018年度1人辞职，工资、公积金、社保减少。（2）人员减少，教育支出减少。（3）取消了津贴，工资福利支出减少。</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358.87</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，与上年相比，增加41.61万元，增长13.12%，增加的主要原因是：增加了生活补助收入，一人去世增加了抚恤金补助收入。调资补发，增加了工资福利收入。</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358.39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，与上年相比，增加41.28万元，增长13.02%，增加的主要原因是：</w:t>
      </w:r>
      <w:r>
        <w:rPr>
          <w:rFonts w:ascii="仿宋_GB2312" w:eastAsia="仿宋_GB2312"/>
          <w:sz w:val="32"/>
          <w:szCs w:val="32"/>
        </w:rPr>
        <w:t/>
      </w:r>
      <w:r>
        <w:rPr>
          <w:rFonts w:ascii="仿宋_GB2312" w:eastAsia="仿宋_GB2312" w:hint="eastAsia"/>
          <w:sz w:val="32"/>
          <w:szCs w:val="32"/>
        </w:rPr>
        <w:t>增加了生活补助支出，一人去世增加了抚恤金补助支出。调资补发，增加了工资福利支出。</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住房保障支出17.24万元,一般公共服务支出293.73万元,教育支出4.16万元,其他支出16.75万元,社会保障和就业支出26.51万元。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工资福利支出254.32万元,商品和服务支出35.94万元,对个人和家庭的补助68.13万元。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375.46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358.87</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，预决算差异率-4.42%，差异主要原因是:1人辞职，工资、公积金、社保收入减少；人员减少，教育收入减少；取消了津贴，工资福利收入减少。</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385.42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358.39</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，预决算差异率-7.01%，差异主要原因是:1人辞职，工资、公积金、社保支出减少；人员减少，教育支出减少；取消了津贴，工资福利支出减少。</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本单位无政府性基金支出。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本单位无政府性基金收入。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，预决算差异率0%，差异主要原因是:本单位无政府性基金收入。</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10.44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。与上年相比，增加0.48万元，增长4.82%</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1.74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。与上年相比，增加0.48万元，增长38.1%。</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，与上年相比，增加0.43万元，增长31.39%，增加的主要原因是：</w:t>
      </w:r>
      <w:r>
        <w:rPr>
          <w:rFonts w:ascii="仿宋_GB2312" w:eastAsia="仿宋_GB2312"/>
          <w:sz w:val="32"/>
          <w:szCs w:val="32"/>
        </w:rPr>
        <w:t/>
      </w:r>
      <w:r>
        <w:rPr>
          <w:rFonts w:ascii="仿宋_GB2312" w:eastAsia="仿宋_GB2312" w:hint="eastAsia"/>
          <w:sz w:val="32"/>
          <w:szCs w:val="32"/>
        </w:rPr>
        <w:t>由于车辆使用年限长，导致车辆维修费增加。</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无差异；</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，与上年相比，增加0.43万元，增长31.39%，增加的主要原因是：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由于车辆使用年限长，导致车辆维修费增加；</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无差异。</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新疆维吾尔自治区喀什档案局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本单位无因公出国（境）支出。</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汽车油料、维护费、过路费、车辆保险费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新疆维吾尔自治区喀什档案局</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万元，决算数1.8万元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新疆维吾尔自治区喀什档案局日常公用经费15.07万元，与上年相比，减少28.43万元，下降65.36%，减少的主要原因是：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外出培训减少，导致培训费减少；精简会议，压缩开支，会议费减少。</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11.43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8.53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18.36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单位行政部门人员外出办事用车；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我局2018年度对2个项目和整体支出进行了预算绩效管理，并与2019年1月对其开展了绩效自评，我局预算资金支出符合我局相关财务管理制度，严格财务收支审批制度，资金的拨付有完整的审批程序和手续，不存在截留、挤占、挪用等情况，并完成了当年绩效目标。</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1、喀什地区档案局档案数字化</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8.13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8.13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总支付档案数字化项目费用8.13万元；按照《纸质档案数字化技术规范》标准，采用平板扫描、彩色扫描方式对现行档案进行扫描，图像为JPG格式，数量为16.26万页;档案数字化扫描卷数1500卷;档案数字化扫描档案年份为2002年至2008年的档案;档案数字化分辨率≥300dpi；
档案数字化完成时间45天；档案数字化每页单价0.5元；档案保管安全性明显提高；查阅、利用档案的方便程度显著提升；档案资料可保存年限延长；档案保管人员满意度95%；档案利用人员满意度95%。</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经自查，本项目不存在问题。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严格按照《行政单位会计制度》、《行政单位财务规则》等法律法规合理、合法、合规使用项目资金。对单位干部职工进行管理及分工，对整个项目工作进行了统筹安排和组织实施，加强日常检查监督工作，确保项目按计划顺利开展。</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12.79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12.79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保证派出的6名工作人员工作支出正常，能及时采购办公用品及耗材，维修办公设备及生活设施，提高队员满意度，提升服务能力；工作经费发放完成率达到100%；工作成效影响时间为一年；补助全年使用率达到100%；全年工作经费共计127923元；帮助困难群众解决生产生活中的实际困难，加快村容村貌整治，协助基础设施建设。使服务质量显著提升、当地居民生活环境持续改善、为当地困难群众办实事效果持续提升；使工作满意度、当地群众满意度、派出单位满意度均达到90%；对第一书记的工作开支进行一定补助，保证第一书记工作无后顾之忧，确保第一书记安心工作，让群众满意。</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经自查，本项目不存在问题。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严格按照《行政单位会计制度》、《行政单位财务规则》等法律法规合理、合法、合规使用项目资金。对单位干部职工进行管理及分工，对整个项目工作进行了统筹安排和组织实施，加强日常检查监督工作，确保项目按计划顺利开展。</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201（类）26（款）04（项）指：档案馆。201（类）26（款）01（项）指：行政运行。201（类）26（款）02（项）指：一般行政管理事务。221（类）02（款）01（项）指：住房公积金。205（类）02（款）01（项）指：学前教育。229（类）99（款）01（项）指：其他支出。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FHPeKQF4llBROcmrNvizyQ==" w:hash="554vcVJzIk2uD+eTIPWcaatJctc="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