
<file path=[Content_Types].xml><?xml version="1.0" encoding="utf-8"?>
<Types xmlns="http://schemas.openxmlformats.org/package/2006/content-types">
  <Default ContentType="application/vnd.openxmlformats-package.relationships+xml" Extension="rels"/>
  <Default ContentType="image/x-wmf" Extension="wm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w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2018年度新疆维吾尔自治区喀什地区体育馆</w:t>
      </w:r>
      <w:r>
        <w:rPr>
          <w:rFonts w:ascii="方正小标宋_GBK" w:eastAsia="方正小标宋_GBK" w:hAnsi="宋体"/>
          <w:sz w:val="44"/>
          <w:szCs w:val="44"/>
        </w:rPr>
        <w:t/>
      </w:r>
      <w:r>
        <w:rPr>
          <w:rFonts w:ascii="方正小标宋_GBK" w:eastAsia="方正小标宋_GBK" w:hAnsi="宋体" w:hint="eastAsia"/>
          <w:sz w:val="44"/>
          <w:szCs w:val="44"/>
        </w:rPr>
        <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1、承办喀什大型政治、文化体育活动。</w:t>
        <w:br/>
        <w:t xml:space="preserve">    2、组织开展群众文化体育活动。</w:t>
        <w:br/>
        <w:t xml:space="preserve">    3、组织开展全民健身活动。</w:t>
        <w:br/>
        <w:t xml:space="preserve">    4、举办喀什地区竞技体育比赛。 </w:t>
      </w:r>
      <w:r>
        <w:rPr>
          <w:rFonts w:ascii="仿宋_GB2312" w:eastAsia="仿宋_GB2312"/>
          <w:sz w:val="32"/>
          <w:szCs w:val="32"/>
        </w:rPr>
        <w:t/>
      </w:r>
      <w:r>
        <w:rPr>
          <w:rFonts w:ascii="仿宋_GB2312" w:eastAsia="仿宋_GB2312" w:hint="eastAsia"/>
          <w:sz w:val="32"/>
          <w:szCs w:val="32"/>
        </w:rPr>
        <w:t xml:space="preserve"/>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新疆维吾尔自治区喀什地区体育馆</w:t>
      </w:r>
      <w:r>
        <w:rPr>
          <w:rFonts w:ascii="仿宋_GB2312" w:eastAsia="仿宋_GB2312" w:hint="eastAsia"/>
          <w:sz w:val="32"/>
          <w:szCs w:val="32"/>
        </w:rPr>
        <w:t>部门决算包括：</w:t>
      </w:r>
      <w:r>
        <w:rPr>
          <w:rFonts w:ascii="仿宋_GB2312" w:eastAsia="仿宋_GB2312"/>
          <w:sz w:val="32"/>
          <w:szCs w:val="32"/>
        </w:rPr>
        <w:t>新疆维吾尔自治区喀什地区体育馆</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新疆维吾尔自治区喀什地区体育馆</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tc>
          <w:tcPr>
            <w:tcW w:w="3056"/>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1</w:t>
            </w:r>
          </w:p>
        </w:tc>
        <w:tc>
          <w:tcPr>
            <w:tcW w:w="3870"/>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新疆维吾尔自治区喀什地区体育馆</w:t>
            </w:r>
          </w:p>
        </w:tc>
        <w:tc>
          <w:tcPr>
            <w:tcW w:w="2538"/>
            <w:vAlign w:val="center"/>
            <w:vAlign w:val="center"/>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
            </w: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235.67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，与上年相比，减少116.14万元，下降33.01%，减少的主要原因是：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人员减少（自然减员3人）基本支出拨款减少、体育场馆维修改造及设备购置专项资金拨款减少；</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235.67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，与上年相比，减少128.06万元，下降35.21%，减少的主要原因是：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人员减少（自然减员3人）基本支出减少、上年结转场馆维修改造专项资金及设备购置专项资金未在规定的时间完成目标项目，专项资金上缴财政，专项支出减少；</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，与上年相比，减少5.47万元，下降100%，减少的主要原因是：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color w:val="000000" w:themeColor="text1"/>
          <w:sz w:val="32"/>
          <w:szCs w:val="32"/>
        </w:rPr>
        <w:t>上年结转场馆维修改造专项资金、设备购置专项资金未在规定的时间完成目标项目，结转的专项资金上缴财政。</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235.67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235.67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况：本年收入年初预算数155.14万元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，决算数235.67万元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，预决算差异率51.91%，差异主要原因是:普调职工工资基本支出拨款增加、财政拨入体育场馆免费开放补助专项资金。</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235.67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155.1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65.81%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80.56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34.18%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与年初预算数相比情况：本年支出年初预算数591.62万元，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决算数235.67万元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，预决算差异率-60.17%，差异主要原因是:上年结转场馆维修改造专项资金、设备购置专项资金未在规定的时间完成目标项目，专项资金上缴财政，专项支出减少。</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235.67</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，与上年相比，减少103.74万元，下降30.56%，减少的主要原因是：</w:t>
      </w:r>
      <w:r>
        <w:rPr>
          <w:rFonts w:ascii="仿宋_GB2312" w:eastAsia="仿宋_GB2312"/>
          <w:sz w:val="32"/>
          <w:szCs w:val="32"/>
        </w:rPr>
        <w:t/>
      </w:r>
      <w:r>
        <w:rPr>
          <w:rFonts w:ascii="仿宋_GB2312" w:eastAsia="仿宋_GB2312" w:hint="eastAsia"/>
          <w:sz w:val="32"/>
          <w:szCs w:val="32"/>
        </w:rPr>
        <w:t>人员减少（自然减员3人），基本支出拨款减少体育场馆维修改造及设备购置专项资金拨款减少。</w:t>
      </w:r>
      <w:r>
        <w:rPr>
          <w:rFonts w:ascii="仿宋_GB2312" w:eastAsia="仿宋_GB2312"/>
          <w:sz w:val="32"/>
          <w:szCs w:val="32"/>
        </w:rPr>
        <w:t/>
      </w:r>
      <w:r>
        <w:rPr>
          <w:rFonts w:ascii="仿宋_GB2312" w:eastAsia="仿宋_GB2312" w:hint="eastAsia"/>
          <w:sz w:val="32"/>
          <w:szCs w:val="32"/>
        </w:rPr>
        <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235.67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，与上年相比，减少115.66万元，下降32.92%，减少的主要原因是：</w:t>
      </w:r>
      <w:r>
        <w:rPr>
          <w:rFonts w:ascii="仿宋_GB2312" w:eastAsia="仿宋_GB2312"/>
          <w:sz w:val="32"/>
          <w:szCs w:val="32"/>
        </w:rPr>
        <w:t>人员减少（自然减员3人），基本支出减少、上年结转场馆维修改造专项资金、设备购置专项资金未在规定的时间完成目标项目，结转的专项资金上缴财政，专项支出减少。</w:t>
      </w:r>
      <w:r>
        <w:rPr>
          <w:rFonts w:ascii="仿宋_GB2312" w:eastAsia="仿宋_GB2312" w:hint="eastAsia"/>
          <w:sz w:val="32"/>
          <w:szCs w:val="32"/>
        </w:rPr>
        <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155.1</w:t>
      </w:r>
      <w:r>
        <w:rPr>
          <w:rFonts w:ascii="仿宋_GB2312" w:eastAsia="仿宋_GB2312"/>
          <w:sz w:val="32"/>
          <w:szCs w:val="32"/>
        </w:rPr>
        <w:t/>
      </w:r>
      <w:r w:rsidR="00151A95">
        <w:rPr>
          <w:rFonts w:ascii="仿宋_GB2312" w:eastAsia="仿宋_GB2312"/>
          <w:sz w:val="32"/>
          <w:szCs w:val="32"/>
        </w:rPr>
        <w:t/>
      </w:r>
      <w:r w:rsidR="00507F68">
        <w:rPr>
          <w:rFonts w:ascii="仿宋_GB2312" w:eastAsia="仿宋_GB2312"/>
          <w:sz w:val="32"/>
          <w:szCs w:val="32"/>
        </w:rPr>
        <w:t/>
      </w:r>
      <w:r>
        <w:rPr>
          <w:rFonts w:ascii="仿宋_GB2312" w:eastAsia="仿宋_GB2312"/>
          <w:sz w:val="32"/>
          <w:szCs w:val="32"/>
        </w:rPr>
        <w:t/>
      </w:r>
      <w:r w:rsidR="00151A95">
        <w:rPr>
          <w:rFonts w:ascii="仿宋_GB2312" w:eastAsia="仿宋_GB2312"/>
          <w:sz w:val="32"/>
          <w:szCs w:val="32"/>
        </w:rPr>
        <w:t/>
      </w:r>
      <w:r w:rsidR="00795099">
        <w:rPr>
          <w:rFonts w:ascii="仿宋_GB2312" w:eastAsia="仿宋_GB2312"/>
          <w:sz w:val="32"/>
          <w:szCs w:val="32"/>
        </w:rPr>
        <w:t/>
      </w:r>
      <w:r w:rsidR="00151A95">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万元，项目支出</w:t>
      </w:r>
      <w:r>
        <w:rPr>
          <w:rFonts w:ascii="仿宋_GB2312" w:eastAsia="仿宋_GB2312" w:hint="eastAsia"/>
          <w:sz w:val="32"/>
          <w:szCs w:val="32"/>
        </w:rPr>
        <w:t>80.56</w:t>
      </w:r>
      <w:r>
        <w:rPr>
          <w:rFonts w:ascii="仿宋_GB2312" w:eastAsia="仿宋_GB2312"/>
          <w:sz w:val="32"/>
          <w:szCs w:val="32"/>
        </w:rPr>
        <w:t/>
      </w:r>
      <w:r w:rsidR="0002118A">
        <w:rPr>
          <w:rFonts w:ascii="仿宋_GB2312" w:eastAsia="仿宋_GB2312"/>
          <w:sz w:val="32"/>
          <w:szCs w:val="32"/>
        </w:rPr>
        <w:t/>
      </w:r>
      <w:r>
        <w:rPr>
          <w:rFonts w:ascii="仿宋_GB2312" w:eastAsia="仿宋_GB2312"/>
          <w:sz w:val="32"/>
          <w:szCs w:val="32"/>
        </w:rPr>
        <w:t/>
      </w:r>
      <w:r w:rsidR="00507F68">
        <w:rPr>
          <w:rFonts w:ascii="仿宋_GB2312" w:eastAsia="仿宋_GB2312"/>
          <w:sz w:val="32"/>
          <w:szCs w:val="32"/>
        </w:rPr>
        <w:t/>
      </w:r>
      <w:r w:rsidR="00151A95">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，与上年相比，减少5.47万元，下降100%，减少的主要原因是：</w:t>
      </w:r>
      <w:r>
        <w:rPr>
          <w:rFonts w:ascii="仿宋_GB2312" w:eastAsia="仿宋_GB2312"/>
          <w:sz w:val="32"/>
          <w:szCs w:val="32"/>
        </w:rPr>
        <w:t/>
      </w:r>
      <w:r>
        <w:rPr>
          <w:rFonts w:ascii="仿宋_GB2312" w:eastAsia="仿宋_GB2312" w:hint="eastAsia"/>
          <w:sz w:val="32"/>
          <w:szCs w:val="32"/>
        </w:rPr>
        <w:t>加大上年结转资金支付力度，上年结转场馆维修改造专项资金、设备购置专项资金未在规定的时间完成目标项目，专项资金上缴财政。</w:t>
      </w:r>
      <w:r>
        <w:rPr>
          <w:rFonts w:ascii="仿宋_GB2312" w:eastAsia="仿宋_GB2312"/>
          <w:sz w:val="32"/>
          <w:szCs w:val="32"/>
        </w:rPr>
        <w:t/>
      </w:r>
      <w:r>
        <w:rPr>
          <w:rFonts w:ascii="仿宋_GB2312" w:eastAsia="仿宋_GB2312" w:hint="eastAsia"/>
          <w:sz w:val="32"/>
          <w:szCs w:val="32"/>
        </w:rPr>
        <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155.14</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235.67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，预决算差异率51.91%，差异主要原因是:财政拨入体育场馆免费开放补助专项资金。</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591.62</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235.67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，预决算差异率-60.17%，差异主要原因是:上年结转场馆维修改造专项资金、设备购置专项资金未在规定的时间完成目标项目，专项资金上缴财政。</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235.67</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，与上年相比，减少103.74万元，下降30.56%，减少的主要原因是：人员减少（自然减员3人）基本支出拨款减少、场馆维修改造及设备购置专项资金拨款减少。</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235.67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，与上年相比，减少111.87万元，下降32.19%，减少的主要原因是：</w:t>
      </w:r>
      <w:r>
        <w:rPr>
          <w:rFonts w:ascii="仿宋_GB2312" w:eastAsia="仿宋_GB2312"/>
          <w:sz w:val="32"/>
          <w:szCs w:val="32"/>
        </w:rPr>
        <w:t/>
      </w:r>
      <w:r>
        <w:rPr>
          <w:rFonts w:ascii="仿宋_GB2312" w:eastAsia="仿宋_GB2312" w:hint="eastAsia"/>
          <w:sz w:val="32"/>
          <w:szCs w:val="32"/>
        </w:rPr>
        <w:t>上年结转场馆维修改造专项资金、设备购置专项资金未在规定的时间完成目标项目，专项资金上缴财政，专项支出减少。</w:t>
      </w:r>
      <w:r>
        <w:rPr>
          <w:rFonts w:ascii="仿宋_GB2312" w:eastAsia="仿宋_GB2312"/>
          <w:sz w:val="32"/>
          <w:szCs w:val="32"/>
        </w:rPr>
        <w:t/>
      </w:r>
      <w:r>
        <w:rPr>
          <w:rFonts w:ascii="仿宋_GB2312" w:eastAsia="仿宋_GB2312" w:hint="eastAsia"/>
          <w:sz w:val="32"/>
          <w:szCs w:val="32"/>
        </w:rPr>
        <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住房保障支出8.61万元,文化体育与传媒支出213.74万元,社会保障和就业支出13.32万元。</w:t>
      </w:r>
      <w:r>
        <w:rPr>
          <w:rFonts w:ascii="仿宋_GB2312" w:eastAsia="仿宋_GB2312"/>
          <w:sz w:val="32"/>
          <w:szCs w:val="32"/>
        </w:rPr>
        <w:t/>
      </w:r>
      <w:r>
        <w:rPr>
          <w:rFonts w:ascii="仿宋_GB2312" w:eastAsia="仿宋_GB2312" w:hint="eastAsia"/>
          <w:sz w:val="32"/>
          <w:szCs w:val="32"/>
        </w:rPr>
        <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工资福利支出136.68万元,商品和服务支出55.03万元,对个人和家庭的补助12.6万元,资本性支出31.35万元。</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155.14</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235.67</w:t>
      </w:r>
      <w:r w:rsidR="00D334A9" w:rsidRPr="00D334A9">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，预决算差异率51.91%，差异主要原因是:普调工资，基本支出拨款增加，财政拨入体育场馆免费开放补助专项资金。</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591.62</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235.67</w:t>
      </w:r>
      <w:r w:rsidR="00AA57AE" w:rsidRPr="00AA57AE">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，预决算差异率-60.17%，差异主要原因是:上年结转场馆维修改造专项资金、设备购置专项资金未在规定的时间完成目标项目，专项资金上缴财政，专项支出减少。</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无政府性基金拨款，不存在原因分析。</w:t>
      </w:r>
      <w:r>
        <w:rPr>
          <w:rFonts w:ascii="仿宋_GB2312" w:eastAsia="仿宋_GB2312"/>
          <w:sz w:val="32"/>
          <w:szCs w:val="32"/>
        </w:rPr>
        <w:t/>
      </w:r>
      <w:r>
        <w:rPr>
          <w:rFonts w:ascii="仿宋_GB2312" w:eastAsia="仿宋_GB2312" w:hint="eastAsia"/>
          <w:sz w:val="32"/>
          <w:szCs w:val="32"/>
        </w:rPr>
        <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，与上年相比，减少3.79万元，下降100%，减少的主要原因是：</w:t>
      </w:r>
      <w:r>
        <w:rPr>
          <w:rFonts w:ascii="仿宋_GB2312" w:eastAsia="仿宋_GB2312"/>
          <w:sz w:val="32"/>
          <w:szCs w:val="32"/>
        </w:rPr>
        <w:t/>
      </w:r>
      <w:r>
        <w:rPr>
          <w:rFonts w:ascii="仿宋_GB2312" w:eastAsia="仿宋_GB2312" w:hint="eastAsia"/>
          <w:sz w:val="32"/>
          <w:szCs w:val="32"/>
        </w:rPr>
        <w:t>本年度无政府性基金拨款。</w:t>
      </w:r>
      <w:r>
        <w:rPr>
          <w:rFonts w:ascii="仿宋_GB2312" w:eastAsia="仿宋_GB2312"/>
          <w:sz w:val="32"/>
          <w:szCs w:val="32"/>
        </w:rPr>
        <w:t/>
      </w:r>
      <w:r>
        <w:rPr>
          <w:rFonts w:ascii="仿宋_GB2312" w:eastAsia="仿宋_GB2312" w:hint="eastAsia"/>
          <w:sz w:val="32"/>
          <w:szCs w:val="32"/>
        </w:rPr>
        <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无政府性基金拨款，不存在原因分析。</w:t>
      </w:r>
      <w:r>
        <w:rPr>
          <w:rFonts w:ascii="仿宋_GB2312" w:eastAsia="仿宋_GB2312"/>
          <w:color w:val="000000" w:themeColor="text1"/>
          <w:sz w:val="32"/>
          <w:szCs w:val="32"/>
        </w:rPr>
        <w:t/>
      </w:r>
      <w:bookmarkStart w:id="52" w:name="OLE_LINK73"/>
      <w:bookmarkEnd w:id="50"/>
      <w:bookmarkEnd w:id="51"/>
      <w:r w:rsidR="000C1474">
        <w:rPr>
          <w:rFonts w:ascii="仿宋_GB2312" w:eastAsia="仿宋_GB2312"/>
          <w:color w:val="000000" w:themeColor="text1"/>
          <w:sz w:val="32"/>
          <w:szCs w:val="32"/>
        </w:rPr>
        <w:t/>
      </w:r>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，预决算差异率0%，差异主要原因是:无政府性基金支出，不存在原因分析。</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。与上年相比，减少5.47万元，下降100%</w:t>
      </w:r>
      <w:r>
        <w:rPr>
          <w:rFonts w:ascii="仿宋_GB2312" w:eastAsia="仿宋_GB2312"/>
          <w:sz w:val="32"/>
          <w:szCs w:val="32"/>
        </w:rPr>
        <w:t/>
      </w:r>
      <w:r w:rsidR="006A1C84">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。与上年相比，减少5.47万元，下降100%。</w:t>
      </w:r>
      <w:r>
        <w:rPr>
          <w:rFonts w:ascii="仿宋_GB2312" w:eastAsia="仿宋_GB2312"/>
          <w:sz w:val="32"/>
          <w:szCs w:val="32"/>
        </w:rPr>
        <w:t/>
      </w:r>
      <w:r w:rsidR="002D34C1">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0.21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，与上年相比，减少1.59万元，下降88.33%，减少的主要原因是：</w:t>
      </w:r>
      <w:r>
        <w:rPr>
          <w:rFonts w:ascii="仿宋_GB2312" w:eastAsia="仿宋_GB2312"/>
          <w:sz w:val="32"/>
          <w:szCs w:val="32"/>
        </w:rPr>
        <w:t/>
      </w:r>
      <w:r>
        <w:rPr>
          <w:rFonts w:ascii="仿宋_GB2312" w:eastAsia="仿宋_GB2312" w:hint="eastAsia"/>
          <w:sz w:val="32"/>
          <w:szCs w:val="32"/>
        </w:rPr>
        <w:t>车辆即将报废，除支付车辆保险费外，无其他费用产生。</w:t>
      </w:r>
      <w:r>
        <w:rPr>
          <w:rFonts w:ascii="仿宋_GB2312" w:eastAsia="仿宋_GB2312"/>
          <w:sz w:val="32"/>
          <w:szCs w:val="32"/>
        </w:rPr>
        <w:t/>
      </w:r>
      <w:r>
        <w:rPr>
          <w:rFonts w:ascii="仿宋_GB2312" w:eastAsia="仿宋_GB2312" w:hint="eastAsia"/>
          <w:sz w:val="32"/>
          <w:szCs w:val="32"/>
        </w:rPr>
        <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无因公出国（境）费支出，不存在原因分析；</w:t>
      </w:r>
      <w:r>
        <w:rPr>
          <w:rFonts w:ascii="仿宋_GB2312" w:eastAsia="仿宋_GB2312"/>
          <w:sz w:val="32"/>
          <w:szCs w:val="32"/>
        </w:rPr>
        <w:t/>
      </w:r>
      <w:r>
        <w:rPr>
          <w:rFonts w:ascii="仿宋_GB2312" w:eastAsia="仿宋_GB2312" w:hint="eastAsia"/>
          <w:sz w:val="32"/>
          <w:szCs w:val="32"/>
        </w:rPr>
        <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0.21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，与上年相比，减少1.59万元，下降88.33%，减少的主要原因是：</w:t>
      </w:r>
      <w:r>
        <w:rPr>
          <w:rFonts w:ascii="仿宋_GB2312" w:eastAsia="仿宋_GB2312"/>
          <w:sz w:val="32"/>
          <w:szCs w:val="32"/>
        </w:rPr>
        <w:t/>
      </w:r>
      <w:r>
        <w:rPr>
          <w:rFonts w:ascii="仿宋_GB2312" w:eastAsia="仿宋_GB2312" w:hint="eastAsia"/>
          <w:sz w:val="32"/>
          <w:szCs w:val="32"/>
        </w:rPr>
        <w:t/>
      </w:r>
      <w:r w:rsidR="0054006F">
        <w:rPr>
          <w:rFonts w:ascii="仿宋_GB2312" w:eastAsia="仿宋_GB2312" w:hint="eastAsia"/>
          <w:sz w:val="32"/>
          <w:szCs w:val="32"/>
        </w:rPr>
        <w:t>车辆即将报废，除支付车辆保险费外，无其他费用产生；</w:t>
      </w:r>
      <w:r>
        <w:rPr>
          <w:rFonts w:ascii="仿宋_GB2312" w:eastAsia="仿宋_GB2312"/>
          <w:sz w:val="32"/>
          <w:szCs w:val="32"/>
        </w:rPr>
        <w:t/>
      </w:r>
      <w:bookmarkStart w:id="63" w:name="OLE_LINK32"/>
      <w:bookmarkStart w:id="64" w:name="OLE_LINK78"/>
      <w:bookmarkStart w:id="65" w:name="OLE_LINK77"/>
      <w:bookmarkEnd w:id="62"/>
      <w:r w:rsidR="0054006F">
        <w:rPr>
          <w:rFonts w:ascii="仿宋_GB2312" w:eastAsia="仿宋_GB2312" w:hint="eastAsia"/>
          <w:sz w:val="32"/>
          <w:szCs w:val="32"/>
        </w:rPr>
        <w:t/>
      </w:r>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无公务接待费支出，不存在原因分析。</w:t>
      </w:r>
      <w:r>
        <w:rPr>
          <w:rFonts w:ascii="仿宋_GB2312" w:eastAsia="仿宋_GB2312"/>
          <w:sz w:val="32"/>
          <w:szCs w:val="32"/>
        </w:rPr>
        <w:t/>
      </w:r>
      <w:r>
        <w:rPr>
          <w:rFonts w:ascii="仿宋_GB2312" w:eastAsia="仿宋_GB2312" w:hint="eastAsia"/>
          <w:sz w:val="32"/>
          <w:szCs w:val="32"/>
        </w:rPr>
        <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新疆维吾尔自治区喀什地区体育馆</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无因公出国（境）费支出，不存在原因分析。</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0.21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0.21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车辆保险费</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辆，保有量为</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无公务接待费支出</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新疆维吾尔自治区喀什地区体育馆</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1.8</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万元，决算数0.21万元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，预决算差异率-88.33%，差异主要原因是:车辆即将报废，除支付车辆保险费外，无其他费用产生。</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，预决算差异率0%，差异主要原因是:无因公出国（境）费支出，不存在原因分析；</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，预决算差异率0%，差异主要原因是:无因公务车辆购置费支出，不存在原因分析；</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1.8</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0.21</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，预决算差异率-88.33%，差异主要原因是:车辆即将报废，除支付车辆保险费外，无产生其他费用；</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无公务接待费支出，不存在原因分析。</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新疆维吾尔自治区喀什地区体育馆日常公用经费5.82万元，与上年相比，减少4.78万元，下降45.09%，减少的主要原因是：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sidR="00FE48DB">
        <w:rPr>
          <w:rFonts w:ascii="仿宋_GB2312" w:eastAsia="仿宋_GB2312" w:hint="eastAsia"/>
          <w:color w:val="000000" w:themeColor="text1"/>
          <w:sz w:val="32"/>
          <w:szCs w:val="32"/>
        </w:rPr>
        <w:t>工作经费减少。</w:t>
      </w:r>
      <w:r w:rsidR="003642F3" w:rsidRPr="003642F3">
        <w:rPr>
          <w:rFonts w:ascii="仿宋_GB2312" w:eastAsia="仿宋_GB2312"/>
          <w:color w:val="000000" w:themeColor="text1"/>
          <w:sz w:val="32"/>
          <w:szCs w:val="32"/>
        </w:rPr>
        <w:t/>
      </w:r>
      <w:r w:rsidR="00FE48DB">
        <w:rPr>
          <w:rFonts w:ascii="仿宋_GB2312" w:eastAsia="仿宋_GB2312" w:hint="eastAsia"/>
          <w:color w:val="000000" w:themeColor="text1"/>
          <w:sz w:val="32"/>
          <w:szCs w:val="32"/>
        </w:rPr>
        <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23.4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23.19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0.21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辆，价值</w:t>
      </w:r>
      <w:r>
        <w:rPr>
          <w:rFonts w:ascii="仿宋_GB2312" w:eastAsia="仿宋_GB2312" w:hint="eastAsia"/>
          <w:sz w:val="32"/>
          <w:szCs w:val="32"/>
        </w:rPr>
        <w:t>10.42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小型货车（江铃皮卡车；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经济性：体育馆及全民健身广场占地10000平方米，为了节约成本，办公区域的卫生由职工自行打扫室，公共区域卫生由临时工完成。效率性：每月5日前，根据体育馆办公室提供的临时工考勤表足额发放临时工工资，临时工社会保障费由地区社保局根据《三方协议》按时缴纳。效益性：临时工工资及其他项目的实施，确保了体育馆及全民健身广场的环境卫生，确保公共体育馆的服务质量。经济性：全年开展群众文体活动次≥20次，全年全民健身广场参加活动人次≥10万人次。效率性：免费开馆活动时间全年≥300天 ，每天开放时间≥12小时。 效益性：丰富群众精神文化生活，提高国民身体素质，增强公共体育馆服务能力。</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1、体育馆全民健身广场建设（欠工程款）</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9.12</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9.12</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全民健身广场地面硬化建设工程面积约350平方米，地面硬化建设标准为260元/每平方米。效率性：工程按时完成，工程款按时支付。效益性：进一步贯彻落实《全民计划纲要》，改善公共体育馆的场地设施，提高公共体育馆的服务质量。</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2018年本项目绩效目标全部达成，不存在未完成原因分析。</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无建议。</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2、体育馆免费开馆补助</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79.76</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59.52</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59.52%</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经济性：全年开展群众文体活动次≥20次，全年全民健身广场参加活动人次≥10万人次。效率性：免费开馆活动时间全年≥300天 ，每天开放时间≥12小时。 效益性：丰富群众精神文化生活，提高国民身体素质，增强公共体育馆服务能力。</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工作缺乏主动性及计划性，未完成项目资金执行率。</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制定相应的工作计划，项目资金严格按预算执行。</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3、场馆运行保障</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91</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11.83</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11.83</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体育馆及全民健身广场占地10000平方米，为了节约成本，办公区域的卫生由职工自行打扫室，公共区域卫生由临时工完成。效率性：每月5日前，根据体育馆办公室提供的临时工考勤表足额发放临时工工资，临时工社会保障费由地区社保局根据《三方协议》按时缴纳。效益性：临时工工资及其他项目的实施，确保了体育馆及全民健身广场的环境卫生，确保公共体育馆的服务质量，确保其他各项事业的开展。</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2018年本项目绩效目标全部达成，不存在未完成原因分析。</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无建议。</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221（类）02（款）01（项）指：住房公积金。207（类）03（款）07（项）指：体育场馆。208（类）05（款）05（项）指：机关事业单位基本养老保险缴费支出。</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8D" w:rsidRDefault="00D36A8D" w:rsidP="00184AA3">
      <w:r>
        <w:separator/>
      </w:r>
    </w:p>
  </w:endnote>
  <w:endnote w:type="continuationSeparator" w:id="0">
    <w:p w:rsidR="00D36A8D" w:rsidRDefault="00D36A8D"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D36A8D">
      <w:rPr>
        <w:rStyle w:val="a8"/>
        <w:rFonts w:ascii="宋体" w:eastAsia="宋体" w:hAnsi="宋体"/>
        <w:noProof/>
        <w:sz w:val="28"/>
      </w:rPr>
      <w:t>- 1 -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8D" w:rsidRDefault="00D36A8D" w:rsidP="00184AA3">
      <w:r>
        <w:separator/>
      </w:r>
    </w:p>
  </w:footnote>
  <w:footnote w:type="continuationSeparator" w:id="0">
    <w:p w:rsidR="00D36A8D" w:rsidRDefault="00D36A8D"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nforcement="1" w:edit="comments" w:salt="0Hhdk8WAjKxNQyzQ4aQMaQ==" w:hash="w0EVA0YbLHZUG0UzdLD1bVl4Q94="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oter2.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2019-05-30T09:42:00Z</dcterms:created>
  <dc:creator>Administrator</dc:creator>
  <cp:lastModifiedBy>Administrator</cp:lastModifiedBy>
  <dcterms:modified xsi:type="dcterms:W3CDTF">2019-10-15T11:43:00Z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