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Ansi="宋体" w:eastAsia="仿宋_GB2312" w:cs="宋体"/>
          <w:kern w:val="0"/>
          <w:sz w:val="30"/>
          <w:szCs w:val="30"/>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cs="宋体" w:asciiTheme="majorEastAsia" w:hAnsiTheme="majorEastAsia" w:eastAsiaTheme="majorEastAsia"/>
          <w:b/>
          <w:kern w:val="0"/>
          <w:sz w:val="52"/>
          <w:szCs w:val="52"/>
        </w:rPr>
      </w:pPr>
      <w:r>
        <w:rPr>
          <w:rFonts w:hint="eastAsia" w:cs="宋体" w:asciiTheme="majorEastAsia" w:hAnsiTheme="majorEastAsia" w:eastAsiaTheme="majorEastAsia"/>
          <w:b/>
          <w:kern w:val="0"/>
          <w:sz w:val="52"/>
          <w:szCs w:val="52"/>
        </w:rPr>
        <w:t>新疆财政支出绩效自评报告</w:t>
      </w:r>
    </w:p>
    <w:p>
      <w:pPr>
        <w:spacing w:line="540" w:lineRule="exact"/>
        <w:jc w:val="center"/>
        <w:rPr>
          <w:rFonts w:cs="宋体" w:asciiTheme="majorEastAsia" w:hAnsiTheme="majorEastAsia" w:eastAsiaTheme="majorEastAsia"/>
          <w:b/>
          <w:kern w:val="0"/>
          <w:sz w:val="52"/>
          <w:szCs w:val="52"/>
        </w:rPr>
      </w:pPr>
    </w:p>
    <w:p>
      <w:pPr>
        <w:spacing w:line="540" w:lineRule="exact"/>
        <w:jc w:val="center"/>
        <w:rPr>
          <w:rFonts w:cs="宋体" w:asciiTheme="majorEastAsia" w:hAnsiTheme="majorEastAsia" w:eastAsiaTheme="majorEastAsia"/>
          <w:kern w:val="0"/>
          <w:sz w:val="36"/>
          <w:szCs w:val="36"/>
        </w:rPr>
      </w:pPr>
      <w:r>
        <w:rPr>
          <w:rFonts w:hint="eastAsia" w:cs="宋体" w:asciiTheme="majorEastAsia" w:hAnsiTheme="majorEastAsia" w:eastAsiaTheme="majorEastAsia"/>
          <w:kern w:val="0"/>
          <w:sz w:val="36"/>
          <w:szCs w:val="36"/>
        </w:rPr>
        <w:t>( 2018 年度）</w:t>
      </w:r>
    </w:p>
    <w:p>
      <w:pPr>
        <w:spacing w:line="540" w:lineRule="exact"/>
        <w:jc w:val="center"/>
        <w:rPr>
          <w:rFonts w:cs="宋体" w:asciiTheme="majorEastAsia" w:hAnsiTheme="majorEastAsia" w:eastAsiaTheme="majorEastAsia"/>
          <w:kern w:val="0"/>
          <w:sz w:val="30"/>
          <w:szCs w:val="30"/>
        </w:rPr>
      </w:pPr>
    </w:p>
    <w:p>
      <w:pPr>
        <w:spacing w:line="540" w:lineRule="exact"/>
        <w:jc w:val="center"/>
        <w:rPr>
          <w:rFonts w:cs="宋体" w:asciiTheme="majorEastAsia" w:hAnsiTheme="majorEastAsia" w:eastAsiaTheme="majorEastAsia"/>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u w:val="single"/>
        </w:rPr>
      </w:pPr>
      <w:r>
        <w:rPr>
          <w:rFonts w:hint="eastAsia" w:hAnsi="宋体" w:eastAsia="仿宋_GB2312" w:cs="宋体"/>
          <w:kern w:val="0"/>
          <w:sz w:val="36"/>
          <w:szCs w:val="36"/>
        </w:rPr>
        <w:t xml:space="preserve">     项目名称：场馆运行保障项目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实施单位（公章）：喀什地区体育馆</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自治区主管部门（公章）：</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项目负责人（签章）：江辉</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2018 年 12 月 30 日</w:t>
      </w:r>
    </w:p>
    <w:p>
      <w:pPr>
        <w:spacing w:line="540" w:lineRule="exact"/>
        <w:jc w:val="center"/>
        <w:rPr>
          <w:rFonts w:hAnsi="宋体" w:eastAsia="仿宋_GB2312" w:cs="宋体"/>
          <w:kern w:val="0"/>
          <w:sz w:val="30"/>
          <w:szCs w:val="30"/>
        </w:rPr>
      </w:pPr>
    </w:p>
    <w:p>
      <w:pPr>
        <w:spacing w:line="540" w:lineRule="exact"/>
        <w:rPr>
          <w:rStyle w:val="19"/>
          <w:rFonts w:ascii="仿宋" w:hAnsi="仿宋" w:eastAsia="仿宋"/>
          <w:b w:val="0"/>
          <w:spacing w:val="-4"/>
          <w:sz w:val="32"/>
          <w:szCs w:val="32"/>
        </w:rPr>
      </w:pPr>
    </w:p>
    <w:p>
      <w:pPr>
        <w:adjustRightInd w:val="0"/>
        <w:snapToGrid w:val="0"/>
        <w:spacing w:line="560" w:lineRule="exact"/>
        <w:ind w:firstLine="624" w:firstLineChars="200"/>
        <w:outlineLvl w:val="0"/>
        <w:rPr>
          <w:rStyle w:val="19"/>
          <w:rFonts w:hint="eastAsia" w:ascii="黑体" w:hAnsi="黑体" w:eastAsia="黑体"/>
          <w:b w:val="0"/>
          <w:spacing w:val="-4"/>
          <w:sz w:val="32"/>
          <w:szCs w:val="32"/>
        </w:rPr>
        <w:sectPr>
          <w:pgSz w:w="11906" w:h="16838"/>
          <w:pgMar w:top="1440" w:right="1800" w:bottom="1440" w:left="1800" w:header="851" w:footer="992" w:gutter="0"/>
          <w:cols w:space="425" w:num="1"/>
          <w:docGrid w:type="lines" w:linePitch="312" w:charSpace="0"/>
        </w:sectPr>
      </w:pP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（一）项目单位基本情</w:t>
      </w:r>
      <w:bookmarkStart w:id="0" w:name="_GoBack"/>
      <w:bookmarkEnd w:id="0"/>
      <w:r>
        <w:rPr>
          <w:rStyle w:val="19"/>
          <w:rFonts w:hint="eastAsia" w:ascii="楷体" w:hAnsi="楷体" w:eastAsia="楷体"/>
          <w:spacing w:val="-4"/>
          <w:sz w:val="32"/>
          <w:szCs w:val="32"/>
        </w:rPr>
        <w:t>况</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喀什地区体育馆是政府设立的公共体育事业单位。隶属喀什地区文化体育新闻出版局。是喀什地区开展大型文化体育活动的重要场地，也是广大群众开展全民健身活动重要场所之一。占地面积10000平方米，其中：室内体育馆面积5000平方米、全民健身广场面积5000平方米。体育馆及全民健身广场全天24小时免费向公众开放。</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喀什地区体育馆的主要职责是，承办喀什地区大型文化体育政治活动；开展群众文化体育馆活动；开展全民健身活动；为喀什地区竞技体育比赛提供场地。</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喀什地区体育馆2018年编制数14人，在职实有人数10人，退休人员13人，遗属补助1人。</w:t>
      </w:r>
    </w:p>
    <w:p>
      <w:pPr>
        <w:adjustRightInd w:val="0"/>
        <w:snapToGrid w:val="0"/>
        <w:spacing w:line="560" w:lineRule="exact"/>
        <w:ind w:firstLine="627" w:firstLineChars="200"/>
        <w:rPr>
          <w:rStyle w:val="19"/>
          <w:rFonts w:ascii="楷体" w:hAnsi="楷体" w:eastAsia="楷体"/>
          <w:spacing w:val="-4"/>
          <w:sz w:val="32"/>
          <w:szCs w:val="32"/>
        </w:rPr>
      </w:pPr>
      <w:r>
        <w:rPr>
          <w:rStyle w:val="19"/>
          <w:rFonts w:hint="eastAsia" w:ascii="楷体" w:hAnsi="楷体" w:eastAsia="楷体"/>
          <w:spacing w:val="-4"/>
          <w:sz w:val="32"/>
          <w:szCs w:val="32"/>
        </w:rPr>
        <w:t>（二）项目预算</w:t>
      </w:r>
      <w:r>
        <w:rPr>
          <w:rStyle w:val="19"/>
          <w:rFonts w:ascii="楷体" w:hAnsi="楷体" w:eastAsia="楷体"/>
          <w:spacing w:val="-4"/>
          <w:sz w:val="32"/>
          <w:szCs w:val="32"/>
        </w:rPr>
        <w:t>绩效目标</w:t>
      </w:r>
      <w:r>
        <w:rPr>
          <w:rStyle w:val="19"/>
          <w:rFonts w:hint="eastAsia" w:ascii="楷体" w:hAnsi="楷体" w:eastAsia="楷体"/>
          <w:spacing w:val="-4"/>
          <w:sz w:val="32"/>
          <w:szCs w:val="32"/>
        </w:rPr>
        <w:t>设定情况</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1、项目预期目标及阶段性目标</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计划聘用人员3人；计划聘用人员服务期1年；聘用人员报酬（每人/年）3万元/人/年； 其他项目费用支出标准2.83万元/年；临时工工资及其他项目预算资金为11.83万元。</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2、项目基本性质</w:t>
      </w:r>
    </w:p>
    <w:p>
      <w:pPr>
        <w:adjustRightInd w:val="0"/>
        <w:snapToGrid w:val="0"/>
        <w:spacing w:line="560" w:lineRule="exact"/>
        <w:ind w:firstLine="624" w:firstLineChars="200"/>
        <w:rPr>
          <w:rFonts w:ascii="仿宋" w:hAnsi="仿宋" w:eastAsia="仿宋"/>
          <w:bCs/>
          <w:color w:val="000000" w:themeColor="text1"/>
          <w:spacing w:val="-4"/>
          <w:sz w:val="32"/>
          <w:szCs w:val="32"/>
        </w:rPr>
      </w:pPr>
      <w:r>
        <w:rPr>
          <w:rFonts w:hint="eastAsia" w:ascii="仿宋" w:hAnsi="仿宋" w:eastAsia="仿宋"/>
          <w:bCs/>
          <w:color w:val="000000" w:themeColor="text1"/>
          <w:spacing w:val="-4"/>
          <w:sz w:val="32"/>
          <w:szCs w:val="32"/>
        </w:rPr>
        <w:t>本项目性质为延续项目。</w:t>
      </w:r>
    </w:p>
    <w:p>
      <w:pPr>
        <w:adjustRightInd w:val="0"/>
        <w:snapToGrid w:val="0"/>
        <w:spacing w:line="560" w:lineRule="exact"/>
        <w:ind w:firstLine="627" w:firstLineChars="200"/>
        <w:rPr>
          <w:rFonts w:ascii="仿宋" w:hAnsi="仿宋" w:eastAsia="仿宋"/>
          <w:b/>
          <w:bCs/>
          <w:spacing w:val="-4"/>
          <w:sz w:val="32"/>
          <w:szCs w:val="32"/>
        </w:rPr>
      </w:pPr>
      <w:r>
        <w:rPr>
          <w:rFonts w:hint="eastAsia" w:ascii="仿宋" w:hAnsi="仿宋" w:eastAsia="仿宋"/>
          <w:b/>
          <w:bCs/>
          <w:spacing w:val="-4"/>
          <w:sz w:val="32"/>
          <w:szCs w:val="32"/>
        </w:rPr>
        <w:t>3、项目用途及范围</w:t>
      </w:r>
    </w:p>
    <w:p>
      <w:pPr>
        <w:spacing w:line="54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本项目主要为了确保体育馆及全民健身广场的环境卫生，聘用长期卫生保洁员3人，每人每月工资2500元，缴纳基本养老金、医疗保险及其他社会保障费每人每月500元，共计11.83万元。</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（一）项目资金安排落实、总投入等情况分析</w:t>
      </w:r>
    </w:p>
    <w:p>
      <w:pPr>
        <w:adjustRightInd w:val="0"/>
        <w:snapToGrid w:val="0"/>
        <w:spacing w:line="560" w:lineRule="exact"/>
        <w:ind w:firstLine="640" w:firstLineChars="200"/>
        <w:rPr>
          <w:rFonts w:ascii="仿宋" w:hAnsi="仿宋" w:eastAsia="仿宋"/>
          <w:bCs/>
          <w:spacing w:val="-4"/>
          <w:sz w:val="32"/>
          <w:szCs w:val="32"/>
        </w:rPr>
      </w:pPr>
      <w:r>
        <w:rPr>
          <w:rFonts w:hint="eastAsia" w:ascii="仿宋" w:hAnsi="仿宋" w:eastAsia="仿宋"/>
          <w:sz w:val="32"/>
          <w:szCs w:val="32"/>
        </w:rPr>
        <w:t>临时工工资及其他</w:t>
      </w:r>
      <w:r>
        <w:rPr>
          <w:rFonts w:hint="eastAsia" w:ascii="仿宋" w:hAnsi="仿宋" w:eastAsia="仿宋"/>
          <w:bCs/>
          <w:spacing w:val="-4"/>
          <w:sz w:val="32"/>
          <w:szCs w:val="32"/>
        </w:rPr>
        <w:t>项目预算安排总额为11.83万元，其中财政资金11.83万元，自筹资金0万元，2018年实际收到预算资金11.83万元。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（二）项目资金实际使用情况分析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本项目实际支付资金11.83万元，预算执行率100</w:t>
      </w:r>
      <w:r>
        <w:rPr>
          <w:rFonts w:ascii="仿宋" w:hAnsi="仿宋" w:eastAsia="仿宋"/>
          <w:bCs/>
          <w:spacing w:val="-4"/>
          <w:sz w:val="32"/>
          <w:szCs w:val="32"/>
        </w:rPr>
        <w:t>%</w:t>
      </w:r>
      <w:r>
        <w:rPr>
          <w:rFonts w:hint="eastAsia" w:ascii="仿宋" w:hAnsi="仿宋" w:eastAsia="仿宋"/>
          <w:bCs/>
          <w:spacing w:val="-4"/>
          <w:sz w:val="32"/>
          <w:szCs w:val="32"/>
        </w:rPr>
        <w:t>。项目资金主要用于支付临时工工资万元、支付临时工基本养老保险、医疗保险及其他社会保障费2.83万元。</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（三）项目资金管理情况分析</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本项目支出符合喀什地区体育馆相关财务、人事管理制度，包括《会计核算工作管理制度》、《财务收支审批制度》、《现金管理制度》、《体育馆临时工绩效考核制度》等，在资金的拨付及使用中有完整的审批程序和手续，不存在截留、挤占、挪用等情况。</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（一）项目组织情况分析</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该项目是临时工工资及其他项目，不需要进行招投标。</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本项目不存在调整情况。</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本项目不存在检查验收程序。</w:t>
      </w:r>
    </w:p>
    <w:p>
      <w:pPr>
        <w:adjustRightInd w:val="0"/>
        <w:snapToGrid w:val="0"/>
        <w:spacing w:line="560" w:lineRule="exact"/>
        <w:ind w:firstLine="627" w:firstLineChars="200"/>
        <w:outlineLvl w:val="0"/>
        <w:rPr>
          <w:rStyle w:val="19"/>
          <w:rFonts w:ascii="楷体" w:hAnsi="楷体" w:eastAsia="楷体"/>
          <w:spacing w:val="-4"/>
          <w:sz w:val="32"/>
          <w:szCs w:val="32"/>
        </w:rPr>
      </w:pPr>
      <w:r>
        <w:rPr>
          <w:rStyle w:val="19"/>
          <w:rFonts w:hint="eastAsia" w:ascii="楷体" w:hAnsi="楷体" w:eastAsia="楷体"/>
          <w:spacing w:val="-4"/>
          <w:sz w:val="32"/>
          <w:szCs w:val="32"/>
        </w:rPr>
        <w:t>（二）项目管理情况分析</w:t>
      </w:r>
    </w:p>
    <w:p>
      <w:pPr>
        <w:adjustRightInd w:val="0"/>
        <w:snapToGrid w:val="0"/>
        <w:spacing w:line="560" w:lineRule="exact"/>
        <w:ind w:firstLine="624" w:firstLineChars="200"/>
        <w:rPr>
          <w:rStyle w:val="19"/>
          <w:rFonts w:ascii="仿宋" w:hAnsi="仿宋" w:eastAsia="仿宋"/>
          <w:b w:val="0"/>
          <w:spacing w:val="-4"/>
          <w:sz w:val="32"/>
          <w:szCs w:val="32"/>
        </w:rPr>
      </w:pPr>
      <w:r>
        <w:rPr>
          <w:rFonts w:hint="eastAsia" w:ascii="仿宋" w:hAnsi="仿宋" w:eastAsia="仿宋"/>
          <w:bCs/>
          <w:spacing w:val="-4"/>
          <w:sz w:val="32"/>
          <w:szCs w:val="32"/>
        </w:rPr>
        <w:t>项目实施过程中，严格按照体育馆《会计核算工作管理制度》、《财务收支审批制度》、《体育馆临时工绩效考核制度》发放临时工工资。按照喀什地区社保局规定的最低缴费基数和缴费标准缴纳基本养老保险、医疗保险和其他社会保障费。</w:t>
      </w:r>
    </w:p>
    <w:p>
      <w:pPr>
        <w:adjustRightInd w:val="0"/>
        <w:snapToGrid w:val="0"/>
        <w:spacing w:line="560" w:lineRule="exact"/>
        <w:ind w:firstLine="624" w:firstLineChars="200"/>
        <w:outlineLvl w:val="0"/>
        <w:rPr>
          <w:rStyle w:val="19"/>
          <w:rFonts w:ascii="黑体" w:hAnsi="黑体" w:eastAsia="黑体"/>
        </w:rPr>
      </w:pPr>
      <w:r>
        <w:rPr>
          <w:rStyle w:val="19"/>
          <w:rFonts w:hint="eastAsia" w:ascii="黑体" w:hAnsi="黑体" w:eastAsia="黑体"/>
          <w:b w:val="0"/>
          <w:spacing w:val="-4"/>
          <w:sz w:val="32"/>
          <w:szCs w:val="32"/>
        </w:rPr>
        <w:t>四、项目绩效情况</w:t>
      </w:r>
      <w:r>
        <w:rPr>
          <w:rStyle w:val="19"/>
          <w:rFonts w:hint="eastAsia" w:ascii="黑体" w:hAnsi="黑体" w:eastAsia="黑体"/>
        </w:rPr>
        <w:t xml:space="preserve"> </w:t>
      </w:r>
    </w:p>
    <w:p>
      <w:pPr>
        <w:adjustRightInd w:val="0"/>
        <w:snapToGrid w:val="0"/>
        <w:spacing w:line="560" w:lineRule="exact"/>
        <w:ind w:firstLine="627" w:firstLineChars="200"/>
        <w:outlineLvl w:val="0"/>
        <w:rPr>
          <w:rStyle w:val="19"/>
          <w:rFonts w:ascii="楷体" w:hAnsi="楷体" w:eastAsia="楷体"/>
          <w:bCs w:val="0"/>
          <w:spacing w:val="-4"/>
          <w:sz w:val="32"/>
          <w:szCs w:val="32"/>
        </w:rPr>
      </w:pPr>
      <w:r>
        <w:rPr>
          <w:rFonts w:hint="eastAsia" w:ascii="楷体" w:hAnsi="楷体" w:eastAsia="楷体"/>
          <w:b/>
          <w:spacing w:val="-4"/>
          <w:sz w:val="32"/>
          <w:szCs w:val="32"/>
        </w:rPr>
        <w:t>（一）项目绩效目标完成情况分析</w:t>
      </w:r>
    </w:p>
    <w:p>
      <w:pPr>
        <w:adjustRightInd w:val="0"/>
        <w:snapToGrid w:val="0"/>
        <w:spacing w:line="560" w:lineRule="exact"/>
        <w:ind w:firstLine="624" w:firstLineChars="200"/>
        <w:rPr>
          <w:rFonts w:ascii="仿宋" w:hAnsi="仿宋" w:eastAsia="仿宋"/>
          <w:bCs/>
          <w:spacing w:val="-4"/>
          <w:sz w:val="32"/>
          <w:szCs w:val="32"/>
        </w:rPr>
      </w:pPr>
      <w:r>
        <w:rPr>
          <w:rFonts w:ascii="仿宋" w:hAnsi="仿宋" w:eastAsia="仿宋"/>
          <w:bCs/>
          <w:spacing w:val="-4"/>
          <w:sz w:val="32"/>
          <w:szCs w:val="32"/>
        </w:rPr>
        <w:t>本项目共设置一级指标</w:t>
      </w:r>
      <w:r>
        <w:rPr>
          <w:rFonts w:hint="eastAsia" w:ascii="仿宋" w:hAnsi="仿宋" w:eastAsia="仿宋"/>
          <w:bCs/>
          <w:spacing w:val="-4"/>
          <w:sz w:val="32"/>
          <w:szCs w:val="32"/>
        </w:rPr>
        <w:t>3</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二级指标</w:t>
      </w:r>
      <w:r>
        <w:rPr>
          <w:rFonts w:hint="eastAsia" w:ascii="仿宋" w:hAnsi="仿宋" w:eastAsia="仿宋"/>
          <w:bCs/>
          <w:spacing w:val="-4"/>
          <w:sz w:val="32"/>
          <w:szCs w:val="32"/>
        </w:rPr>
        <w:t>7</w:t>
      </w:r>
      <w:r>
        <w:rPr>
          <w:rFonts w:ascii="仿宋" w:hAnsi="仿宋" w:eastAsia="仿宋"/>
          <w:bCs/>
          <w:spacing w:val="-4"/>
          <w:sz w:val="32"/>
          <w:szCs w:val="32"/>
        </w:rPr>
        <w:t>个</w:t>
      </w:r>
      <w:r>
        <w:rPr>
          <w:rFonts w:hint="eastAsia" w:ascii="仿宋" w:hAnsi="仿宋" w:eastAsia="仿宋"/>
          <w:bCs/>
          <w:spacing w:val="-4"/>
          <w:sz w:val="32"/>
          <w:szCs w:val="32"/>
        </w:rPr>
        <w:t>，</w:t>
      </w:r>
      <w:r>
        <w:rPr>
          <w:rFonts w:ascii="仿宋" w:hAnsi="仿宋" w:eastAsia="仿宋"/>
          <w:bCs/>
          <w:spacing w:val="-4"/>
          <w:sz w:val="32"/>
          <w:szCs w:val="32"/>
        </w:rPr>
        <w:t>三级指标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，其中</w:t>
      </w:r>
      <w:r>
        <w:rPr>
          <w:rFonts w:ascii="仿宋" w:hAnsi="仿宋" w:eastAsia="仿宋"/>
          <w:bCs/>
          <w:spacing w:val="-4"/>
          <w:sz w:val="32"/>
          <w:szCs w:val="32"/>
        </w:rPr>
        <w:t>已完成三级指标</w:t>
      </w:r>
      <w:r>
        <w:rPr>
          <w:rFonts w:hint="eastAsia" w:ascii="仿宋" w:hAnsi="仿宋" w:eastAsia="仿宋"/>
          <w:bCs/>
          <w:spacing w:val="-4"/>
          <w:sz w:val="32"/>
          <w:szCs w:val="32"/>
        </w:rPr>
        <w:t>9</w:t>
      </w:r>
      <w:r>
        <w:rPr>
          <w:rFonts w:ascii="仿宋" w:hAnsi="仿宋" w:eastAsia="仿宋"/>
          <w:bCs/>
          <w:spacing w:val="-4"/>
          <w:sz w:val="32"/>
          <w:szCs w:val="32"/>
        </w:rPr>
        <w:t>个</w:t>
      </w:r>
      <w:r>
        <w:rPr>
          <w:rFonts w:hint="eastAsia" w:ascii="仿宋" w:hAnsi="仿宋" w:eastAsia="仿宋"/>
          <w:bCs/>
          <w:spacing w:val="-4"/>
          <w:sz w:val="32"/>
          <w:szCs w:val="32"/>
        </w:rPr>
        <w:t>，指标完成率为100%。</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经济性：体育馆及全民健身广场占地10000平方米，为了节约成本，办公区域的卫生由职工自行打扫室，公共区域卫生由临时工完成。</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效率性：每月5日前，根据体育馆办公室提供的临时工考勤表足额发放临时工工资，临时工社会保障费由地区社保局根据《三方协议》按时缴纳。</w:t>
      </w:r>
    </w:p>
    <w:p>
      <w:pPr>
        <w:adjustRightInd w:val="0"/>
        <w:snapToGrid w:val="0"/>
        <w:spacing w:line="560" w:lineRule="exact"/>
        <w:ind w:firstLine="624" w:firstLineChars="200"/>
        <w:rPr>
          <w:rFonts w:ascii="仿宋" w:hAnsi="仿宋" w:eastAsia="仿宋"/>
          <w:bCs/>
          <w:spacing w:val="-4"/>
          <w:sz w:val="32"/>
          <w:szCs w:val="32"/>
        </w:rPr>
      </w:pPr>
      <w:r>
        <w:rPr>
          <w:rStyle w:val="19"/>
          <w:rFonts w:hint="eastAsia" w:ascii="仿宋" w:hAnsi="仿宋" w:eastAsia="仿宋"/>
          <w:b w:val="0"/>
          <w:spacing w:val="-4"/>
          <w:sz w:val="32"/>
          <w:szCs w:val="32"/>
        </w:rPr>
        <w:t>效益性：临时工工资及其他项目的实施，确保了体育馆及全民健身广场的环境卫生，确保公共体育馆的服务质量，确保其他各项事业的开展。</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2018年本项目达到绩效目标，不存在未完成原因分析。</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（一）后续工作计划</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下一年度，根据喀什地区生活水平，适当调整临时工工资</w:t>
      </w:r>
      <w:r>
        <w:rPr>
          <w:rFonts w:ascii="仿宋" w:hAnsi="仿宋" w:eastAsia="仿宋"/>
          <w:bCs/>
          <w:spacing w:val="-4"/>
          <w:sz w:val="32"/>
          <w:szCs w:val="32"/>
        </w:rPr>
        <w:t>。</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1、主要经验及做法：按时足额发放临时工工资。</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2、存在的问题：无</w:t>
      </w:r>
    </w:p>
    <w:p>
      <w:pPr>
        <w:adjustRightInd w:val="0"/>
        <w:snapToGrid w:val="0"/>
        <w:spacing w:line="560" w:lineRule="exact"/>
        <w:ind w:firstLine="624" w:firstLineChars="200"/>
        <w:rPr>
          <w:rFonts w:ascii="仿宋" w:hAnsi="仿宋" w:eastAsia="仿宋"/>
          <w:bCs/>
          <w:spacing w:val="-4"/>
          <w:sz w:val="32"/>
          <w:szCs w:val="32"/>
        </w:rPr>
      </w:pPr>
      <w:r>
        <w:rPr>
          <w:rFonts w:hint="eastAsia" w:ascii="仿宋" w:hAnsi="仿宋" w:eastAsia="仿宋"/>
          <w:bCs/>
          <w:spacing w:val="-4"/>
          <w:sz w:val="32"/>
          <w:szCs w:val="32"/>
        </w:rPr>
        <w:t>3、建议：无</w:t>
      </w:r>
    </w:p>
    <w:p>
      <w:pPr>
        <w:adjustRightInd w:val="0"/>
        <w:snapToGrid w:val="0"/>
        <w:spacing w:line="560" w:lineRule="exact"/>
        <w:ind w:firstLine="627" w:firstLineChars="200"/>
        <w:outlineLvl w:val="0"/>
        <w:rPr>
          <w:rFonts w:ascii="楷体" w:hAnsi="楷体" w:eastAsia="楷体"/>
          <w:b/>
          <w:spacing w:val="-4"/>
          <w:sz w:val="32"/>
          <w:szCs w:val="32"/>
        </w:rPr>
      </w:pPr>
      <w:r>
        <w:rPr>
          <w:rFonts w:hint="eastAsia" w:ascii="楷体" w:hAnsi="楷体" w:eastAsia="楷体"/>
          <w:b/>
          <w:spacing w:val="-4"/>
          <w:sz w:val="32"/>
          <w:szCs w:val="32"/>
        </w:rPr>
        <w:t>（三）其他</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无其他说明内容。</w:t>
      </w:r>
    </w:p>
    <w:p>
      <w:pPr>
        <w:adjustRightInd w:val="0"/>
        <w:snapToGrid w:val="0"/>
        <w:spacing w:line="560" w:lineRule="exact"/>
        <w:ind w:firstLine="624" w:firstLineChars="200"/>
        <w:outlineLvl w:val="0"/>
        <w:rPr>
          <w:rFonts w:ascii="黑体" w:hAnsi="黑体" w:eastAsia="黑体"/>
          <w:bCs/>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Fonts w:ascii="仿宋" w:hAnsi="仿宋" w:eastAsia="仿宋"/>
          <w:spacing w:val="-4"/>
          <w:sz w:val="32"/>
          <w:szCs w:val="32"/>
        </w:rPr>
      </w:pPr>
      <w:r>
        <w:rPr>
          <w:rFonts w:hint="eastAsia" w:ascii="仿宋" w:hAnsi="仿宋" w:eastAsia="仿宋"/>
          <w:spacing w:val="-4"/>
          <w:sz w:val="32"/>
          <w:szCs w:val="32"/>
        </w:rPr>
        <w:t>本次评价通过查账的方式，全面了解临时工工资及其他项目资金的使用效率和效果，项目管理规范，完成了预期绩效目标。</w:t>
      </w:r>
    </w:p>
    <w:p>
      <w:pPr>
        <w:adjustRightInd w:val="0"/>
        <w:snapToGrid w:val="0"/>
        <w:spacing w:line="560" w:lineRule="exact"/>
        <w:ind w:firstLine="624" w:firstLineChars="200"/>
        <w:outlineLvl w:val="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24" w:firstLineChars="200"/>
        <w:rPr>
          <w:rStyle w:val="19"/>
          <w:rFonts w:ascii="仿宋" w:hAnsi="仿宋" w:eastAsia="仿宋"/>
          <w:b w:val="0"/>
          <w:spacing w:val="-4"/>
          <w:sz w:val="32"/>
          <w:szCs w:val="32"/>
        </w:rPr>
      </w:pPr>
      <w:r>
        <w:rPr>
          <w:rStyle w:val="19"/>
          <w:rFonts w:hint="eastAsia" w:ascii="仿宋" w:hAnsi="仿宋" w:eastAsia="仿宋"/>
          <w:b w:val="0"/>
          <w:spacing w:val="-4"/>
          <w:sz w:val="32"/>
          <w:szCs w:val="32"/>
        </w:rPr>
        <w:t>《项目支出绩效目标自评表》</w:t>
      </w:r>
    </w:p>
    <w:p>
      <w:pPr>
        <w:adjustRightInd w:val="0"/>
        <w:snapToGrid w:val="0"/>
        <w:spacing w:line="560" w:lineRule="exact"/>
        <w:ind w:firstLine="627" w:firstLineChars="200"/>
        <w:rPr>
          <w:rStyle w:val="19"/>
          <w:rFonts w:ascii="仿宋" w:hAnsi="仿宋" w:eastAsia="仿宋"/>
          <w:spacing w:val="-4"/>
          <w:sz w:val="32"/>
          <w:szCs w:val="3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892034"/>
      <w:docPartObj>
        <w:docPartGallery w:val="autotext"/>
      </w:docPartObj>
    </w:sdtPr>
    <w:sdtContent>
      <w:p>
        <w:pPr>
          <w:pStyle w:val="13"/>
          <w:jc w:val="center"/>
        </w:pPr>
        <w:r>
          <w:fldChar w:fldCharType="begin"/>
        </w:r>
        <w:r>
          <w:instrText xml:space="preserve">PAGE   \* MERGEFORMAT</w:instrText>
        </w:r>
        <w:r>
          <w:fldChar w:fldCharType="separate"/>
        </w:r>
        <w:r>
          <w:rPr>
            <w:lang w:val="zh-CN"/>
          </w:rPr>
          <w:t>4</w:t>
        </w:r>
        <w:r>
          <w:fldChar w:fldCharType="end"/>
        </w:r>
      </w:p>
    </w:sdtContent>
  </w:sdt>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6311C"/>
    <w:rsid w:val="0012208E"/>
    <w:rsid w:val="00135256"/>
    <w:rsid w:val="0014221A"/>
    <w:rsid w:val="001A4E1F"/>
    <w:rsid w:val="001A57B9"/>
    <w:rsid w:val="001C3847"/>
    <w:rsid w:val="001F3031"/>
    <w:rsid w:val="00207117"/>
    <w:rsid w:val="00210A26"/>
    <w:rsid w:val="002617FF"/>
    <w:rsid w:val="002A2532"/>
    <w:rsid w:val="00365250"/>
    <w:rsid w:val="0036624C"/>
    <w:rsid w:val="00371D26"/>
    <w:rsid w:val="00385849"/>
    <w:rsid w:val="003A344E"/>
    <w:rsid w:val="00410B69"/>
    <w:rsid w:val="00415E45"/>
    <w:rsid w:val="004A0FB2"/>
    <w:rsid w:val="0050167F"/>
    <w:rsid w:val="00514506"/>
    <w:rsid w:val="005162F1"/>
    <w:rsid w:val="00535153"/>
    <w:rsid w:val="0055068E"/>
    <w:rsid w:val="00575CFE"/>
    <w:rsid w:val="00592D09"/>
    <w:rsid w:val="00650050"/>
    <w:rsid w:val="00675D58"/>
    <w:rsid w:val="006F2E6D"/>
    <w:rsid w:val="007218B8"/>
    <w:rsid w:val="00740800"/>
    <w:rsid w:val="00764AF4"/>
    <w:rsid w:val="007812B1"/>
    <w:rsid w:val="00785FDE"/>
    <w:rsid w:val="007A0351"/>
    <w:rsid w:val="007A14BC"/>
    <w:rsid w:val="007C1025"/>
    <w:rsid w:val="007E1751"/>
    <w:rsid w:val="007E6845"/>
    <w:rsid w:val="007F5F8A"/>
    <w:rsid w:val="00826CA1"/>
    <w:rsid w:val="00835B7F"/>
    <w:rsid w:val="00855E3A"/>
    <w:rsid w:val="008A3307"/>
    <w:rsid w:val="00922CB9"/>
    <w:rsid w:val="009B526F"/>
    <w:rsid w:val="009C1AFD"/>
    <w:rsid w:val="00A26421"/>
    <w:rsid w:val="00A4293B"/>
    <w:rsid w:val="00A83BD5"/>
    <w:rsid w:val="00AB2EE5"/>
    <w:rsid w:val="00B06CA5"/>
    <w:rsid w:val="00B41F61"/>
    <w:rsid w:val="00B55332"/>
    <w:rsid w:val="00B86E8C"/>
    <w:rsid w:val="00BE1A00"/>
    <w:rsid w:val="00C22CF0"/>
    <w:rsid w:val="00C56C72"/>
    <w:rsid w:val="00CA6457"/>
    <w:rsid w:val="00CC6E4D"/>
    <w:rsid w:val="00D048E6"/>
    <w:rsid w:val="00D17F2E"/>
    <w:rsid w:val="00D46194"/>
    <w:rsid w:val="00E01293"/>
    <w:rsid w:val="00E769FE"/>
    <w:rsid w:val="00EA2CBE"/>
    <w:rsid w:val="00EC0E64"/>
    <w:rsid w:val="00F32FEE"/>
    <w:rsid w:val="00FB6D33"/>
    <w:rsid w:val="57CD4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46"/>
    <w:semiHidden/>
    <w:unhideWhenUsed/>
    <w:qFormat/>
    <w:uiPriority w:val="99"/>
    <w:rPr>
      <w:rFonts w:ascii="宋体"/>
      <w:sz w:val="18"/>
      <w:szCs w:val="18"/>
    </w:rPr>
  </w:style>
  <w:style w:type="paragraph" w:styleId="12">
    <w:name w:val="Balloon Text"/>
    <w:basedOn w:val="1"/>
    <w:link w:val="47"/>
    <w:semiHidden/>
    <w:unhideWhenUsed/>
    <w:uiPriority w:val="99"/>
    <w:rPr>
      <w:sz w:val="18"/>
      <w:szCs w:val="18"/>
    </w:rPr>
  </w:style>
  <w:style w:type="paragraph" w:styleId="13">
    <w:name w:val="footer"/>
    <w:basedOn w:val="1"/>
    <w:link w:val="45"/>
    <w:unhideWhenUsed/>
    <w:uiPriority w:val="99"/>
    <w:pPr>
      <w:tabs>
        <w:tab w:val="center" w:pos="4153"/>
        <w:tab w:val="right" w:pos="8306"/>
      </w:tabs>
      <w:snapToGrid w:val="0"/>
      <w:jc w:val="left"/>
    </w:pPr>
    <w:rPr>
      <w:rFonts w:ascii="Calibri" w:hAnsi="Calibri"/>
      <w:sz w:val="18"/>
      <w:szCs w:val="18"/>
    </w:rPr>
  </w:style>
  <w:style w:type="paragraph" w:styleId="14">
    <w:name w:val="header"/>
    <w:basedOn w:val="1"/>
    <w:link w:val="44"/>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uiPriority w:val="9"/>
    <w:rPr>
      <w:rFonts w:asciiTheme="majorHAnsi" w:hAnsiTheme="majorHAnsi" w:eastAsiaTheme="majorEastAsia"/>
      <w:b/>
      <w:bCs/>
      <w:kern w:val="32"/>
      <w:sz w:val="32"/>
      <w:szCs w:val="32"/>
    </w:rPr>
  </w:style>
  <w:style w:type="character" w:customStyle="1" w:styleId="22">
    <w:name w:val="标题 2 Char"/>
    <w:basedOn w:val="18"/>
    <w:link w:val="3"/>
    <w:semiHidden/>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uiPriority w:val="9"/>
    <w:rPr>
      <w:i/>
      <w:iCs/>
      <w:sz w:val="24"/>
      <w:szCs w:val="24"/>
    </w:rPr>
  </w:style>
  <w:style w:type="character" w:customStyle="1" w:styleId="29">
    <w:name w:val="标题 9 Char"/>
    <w:basedOn w:val="18"/>
    <w:link w:val="10"/>
    <w:semiHidden/>
    <w:uiPriority w:val="9"/>
    <w:rPr>
      <w:rFonts w:asciiTheme="majorHAnsi" w:hAnsiTheme="majorHAnsi" w:eastAsiaTheme="majorEastAsia"/>
    </w:rPr>
  </w:style>
  <w:style w:type="character" w:customStyle="1" w:styleId="30">
    <w:name w:val="标题 Char"/>
    <w:basedOn w:val="18"/>
    <w:link w:val="16"/>
    <w:uiPriority w:val="10"/>
    <w:rPr>
      <w:rFonts w:asciiTheme="majorHAnsi" w:hAnsiTheme="majorHAnsi" w:eastAsiaTheme="majorEastAsia"/>
      <w:b/>
      <w:bCs/>
      <w:kern w:val="28"/>
      <w:sz w:val="32"/>
      <w:szCs w:val="32"/>
    </w:rPr>
  </w:style>
  <w:style w:type="character" w:customStyle="1" w:styleId="31">
    <w:name w:val="副标题 Char"/>
    <w:basedOn w:val="18"/>
    <w:link w:val="15"/>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Subtle Emphasis"/>
    <w:qFormat/>
    <w:uiPriority w:val="19"/>
    <w:rPr>
      <w:i/>
      <w:color w:val="595959" w:themeColor="text1" w:themeTint="A5"/>
    </w:rPr>
  </w:style>
  <w:style w:type="character" w:customStyle="1" w:styleId="39">
    <w:name w:val="Intense Emphasis"/>
    <w:basedOn w:val="18"/>
    <w:qFormat/>
    <w:uiPriority w:val="21"/>
    <w:rPr>
      <w:b/>
      <w:i/>
      <w:sz w:val="24"/>
      <w:szCs w:val="24"/>
      <w:u w:val="single"/>
    </w:rPr>
  </w:style>
  <w:style w:type="character" w:customStyle="1" w:styleId="40">
    <w:name w:val="Subtle Reference"/>
    <w:basedOn w:val="18"/>
    <w:qFormat/>
    <w:uiPriority w:val="31"/>
    <w:rPr>
      <w:sz w:val="24"/>
      <w:szCs w:val="24"/>
      <w:u w:val="single"/>
    </w:rPr>
  </w:style>
  <w:style w:type="character" w:customStyle="1" w:styleId="41">
    <w:name w:val="Intense Reference"/>
    <w:basedOn w:val="18"/>
    <w:qFormat/>
    <w:uiPriority w:val="32"/>
    <w:rPr>
      <w:b/>
      <w:sz w:val="24"/>
      <w:u w:val="single"/>
    </w:rPr>
  </w:style>
  <w:style w:type="character" w:customStyle="1" w:styleId="42">
    <w:name w:val="Book Title"/>
    <w:basedOn w:val="18"/>
    <w:qFormat/>
    <w:uiPriority w:val="33"/>
    <w:rPr>
      <w:rFonts w:asciiTheme="majorHAnsi" w:hAnsiTheme="majorHAnsi" w:eastAsiaTheme="majorEastAsia"/>
      <w:b/>
      <w:i/>
      <w:sz w:val="24"/>
      <w:szCs w:val="24"/>
    </w:rPr>
  </w:style>
  <w:style w:type="paragraph" w:customStyle="1" w:styleId="43">
    <w:name w:val="TOC Heading"/>
    <w:basedOn w:val="2"/>
    <w:next w:val="1"/>
    <w:semiHidden/>
    <w:unhideWhenUsed/>
    <w:qFormat/>
    <w:uiPriority w:val="39"/>
    <w:pPr>
      <w:outlineLvl w:val="9"/>
    </w:pPr>
    <w:rPr>
      <w:lang w:eastAsia="en-US" w:bidi="en-US"/>
    </w:rPr>
  </w:style>
  <w:style w:type="character" w:customStyle="1" w:styleId="44">
    <w:name w:val="页眉 Char"/>
    <w:basedOn w:val="18"/>
    <w:link w:val="14"/>
    <w:uiPriority w:val="99"/>
    <w:rPr>
      <w:rFonts w:ascii="Calibri" w:hAnsi="Calibri" w:eastAsia="宋体"/>
      <w:kern w:val="2"/>
      <w:sz w:val="18"/>
      <w:szCs w:val="18"/>
    </w:rPr>
  </w:style>
  <w:style w:type="character" w:customStyle="1" w:styleId="45">
    <w:name w:val="页脚 Char"/>
    <w:basedOn w:val="18"/>
    <w:link w:val="13"/>
    <w:uiPriority w:val="99"/>
    <w:rPr>
      <w:rFonts w:ascii="Calibri" w:hAnsi="Calibri" w:eastAsia="宋体"/>
      <w:kern w:val="2"/>
      <w:sz w:val="18"/>
      <w:szCs w:val="18"/>
    </w:rPr>
  </w:style>
  <w:style w:type="character" w:customStyle="1" w:styleId="46">
    <w:name w:val="文档结构图 Char"/>
    <w:basedOn w:val="18"/>
    <w:link w:val="11"/>
    <w:semiHidden/>
    <w:qFormat/>
    <w:uiPriority w:val="99"/>
    <w:rPr>
      <w:rFonts w:ascii="宋体" w:hAnsi="Times New Roman" w:eastAsia="宋体"/>
      <w:kern w:val="2"/>
      <w:sz w:val="18"/>
      <w:szCs w:val="18"/>
    </w:rPr>
  </w:style>
  <w:style w:type="character" w:customStyle="1" w:styleId="47">
    <w:name w:val="批注框文本 Char"/>
    <w:basedOn w:val="18"/>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A528D3-86C7-4114-8110-ED513FA8AB5A}">
  <ds:schemaRefs/>
</ds:datastoreItem>
</file>

<file path=docProps/app.xml><?xml version="1.0" encoding="utf-8"?>
<Properties xmlns="http://schemas.openxmlformats.org/officeDocument/2006/extended-properties" xmlns:vt="http://schemas.openxmlformats.org/officeDocument/2006/docPropsVTypes">
  <Template>Normal</Template>
  <Pages>4</Pages>
  <Words>232</Words>
  <Characters>1329</Characters>
  <Lines>11</Lines>
  <Paragraphs>3</Paragraphs>
  <TotalTime>8</TotalTime>
  <ScaleCrop>false</ScaleCrop>
  <LinksUpToDate>false</LinksUpToDate>
  <CharactersWithSpaces>1558</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2018-12-17T10:14:00Z</dcterms:created>
  <dc:creator>赵 恺（预算处）</dc:creator>
  <cp:lastModifiedBy>Reality</cp:lastModifiedBy>
  <cp:lastPrinted>2018-12-17T10:15:00Z</cp:lastPrinted>
  <dcterms:modified xsi:type="dcterms:W3CDTF">2019-08-21T08:58:15Z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