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2018年度新疆喀什地区文化馆</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喀什地区文化馆主要是组织群众文化活动，繁荣群众文化事业，文化宣传文艺组织活动，相关培训，业余创作团体管理，业余文艺创作组织，授权管理文化市场，村级文化室业务指导，群众文艺理论研究，文化交流，大众科普资料编辑，民族民间文化艺术遗产收集整理和保护。单位编制25人，为全额拨款事业单位。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新疆喀什地区文化馆</w:t>
      </w:r>
      <w:r>
        <w:rPr>
          <w:rFonts w:ascii="仿宋_GB2312" w:eastAsia="仿宋_GB2312" w:hint="eastAsia"/>
          <w:sz w:val="32"/>
          <w:szCs w:val="32"/>
        </w:rPr>
        <w:t>部门决算包括：</w:t>
      </w:r>
      <w:r>
        <w:rPr>
          <w:rFonts w:ascii="仿宋_GB2312" w:eastAsia="仿宋_GB2312"/>
          <w:sz w:val="32"/>
          <w:szCs w:val="32"/>
        </w:rPr>
        <w:t>新疆喀什地区文化馆</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新疆喀什地区文化馆</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新疆喀什地区文化馆</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409.78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，与上年相比，增加138.99万元，增长51.33%，增加的主要原因是：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1、2018年与2017年相比，2018年新入职7人，人员经费增加；2、2018年2070199款财政拨款收入增加；3、2018年2079999款存在结余，列入了2018年收入中；4、2018年收到山东援疆资金；5、2018年本级财政补助律师费；</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390.01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，与上年相比，增加46.64万元，增长13.58%，增加的主要原因是：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1、2018年与2017年相比，2018年新入职7人，人员经费支出增加；2、2018年支出律师费相关费用；</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43.93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，与上年相比，减少7.24万元，下降14.15%，减少的主要原因是：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免费开馆资金结余减少，2018年与2017年相比，群众文化活动开展较多。</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409.78</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360.84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88.06%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48.95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11.95%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况：本年收入年初预算数276.02万元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，决算数409.78万元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48.46%，差异主要原因是:1、2018年3月、4月新入职干部共7人，人员经费增加，未列入年初预算；2、2018年收到的专项资金未列入年初预算；3、2018年年底收到山东援疆资金，未列入年初预算；4、2018年年底本级财政补助律师费未列入年初预算。</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390.01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305.02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78.21%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84.99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21.79%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与年初预算数相比情况：本年支出年初预算数367.68万元，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决算数390.01万元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，预决算差异率6.07%，差异主要原因是:2018年3月、4月新入职干部共7人，人员经费支出增加，未列入年初预算数。</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360.84</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，与上年相比，增加109.45万元，增长43.54%，增加的主要原因是：</w:t>
      </w:r>
      <w:r>
        <w:rPr>
          <w:rFonts w:ascii="仿宋_GB2312" w:eastAsia="仿宋_GB2312"/>
          <w:sz w:val="32"/>
          <w:szCs w:val="32"/>
        </w:rPr>
        <w:t/>
      </w:r>
      <w:r>
        <w:rPr>
          <w:rFonts w:ascii="仿宋_GB2312" w:eastAsia="仿宋_GB2312" w:hint="eastAsia"/>
          <w:sz w:val="32"/>
          <w:szCs w:val="32"/>
        </w:rPr>
        <w:t>1、2018年与2017年相比，2018年新入职干部7人，人员经费增加；2、2018年收到山东援疆资金；3、2018年本级财政补助律师费。</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371.06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，与上年相比，增加47.09万元，增长14.54%，增加的主要原因是：</w:t>
      </w:r>
      <w:r>
        <w:rPr>
          <w:rFonts w:ascii="仿宋_GB2312" w:eastAsia="仿宋_GB2312"/>
          <w:sz w:val="32"/>
          <w:szCs w:val="32"/>
        </w:rPr>
        <w:t>2018年新入职干部7人，人员经费支出增加。</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305.02</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66.05</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13.93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，与上年相比，减少37.24万元，下降72.78%，减少的主要原因是：</w:t>
      </w:r>
      <w:r>
        <w:rPr>
          <w:rFonts w:ascii="仿宋_GB2312" w:eastAsia="仿宋_GB2312"/>
          <w:sz w:val="32"/>
          <w:szCs w:val="32"/>
        </w:rPr>
        <w:t/>
      </w:r>
      <w:r>
        <w:rPr>
          <w:rFonts w:ascii="仿宋_GB2312" w:eastAsia="仿宋_GB2312" w:hint="eastAsia"/>
          <w:sz w:val="32"/>
          <w:szCs w:val="32"/>
        </w:rPr>
        <w:t>2017年年初财政拨款结转和结余高于2018年年初财政拨款结转和结余资金。</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276.02</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360.84</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30.73%，差异主要原因是:1、2018年3月、4月新入职干部共7人，人员经费增加，未列入年初预算；2、2018年年底收到山东援疆资金，未列入年初预算；3、2018年年底本级财政补助律师费未列入年初预算。</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367.68</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371.06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，预决算差异率0.92%，差异主要原因是:增加新录用人员、增加工资福利支出。</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360.84</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，与上年相比，增加109.45万元，增长43.54%，增加的主要原因是：1、2018年与2017年相比，2018年新入职干部7人，人员经费增加；2、2018年收到山东援疆资金；3、2018年收到本级财政补助律师费。</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371.06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，与上年相比，增加47.09万元，增长14.54%，增加的主要原因是：</w:t>
      </w:r>
      <w:r>
        <w:rPr>
          <w:rFonts w:ascii="仿宋_GB2312" w:eastAsia="仿宋_GB2312"/>
          <w:sz w:val="32"/>
          <w:szCs w:val="32"/>
        </w:rPr>
        <w:t/>
      </w:r>
      <w:r>
        <w:rPr>
          <w:rFonts w:ascii="仿宋_GB2312" w:eastAsia="仿宋_GB2312" w:hint="eastAsia"/>
          <w:sz w:val="32"/>
          <w:szCs w:val="32"/>
        </w:rPr>
        <w:t>2018年新入职干部7人，人员经费支出增加。</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住房保障支出16.97万元,文化体育与传媒支出321.09万元,其他支出1.98万元,社会保障和就业支出31.02万元。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工资福利支出250.03万元,商品和服务支出57.17万元,对个人和家庭的补助50.9万元,资本性支出12.96万元。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276.02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360.84</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30.73%，差异主要原因是:1、2018年3月、4月新入职干部共7人，人员经费增加，未列入年初预算；2、2018年年底收到山东援疆资金，未列入年初预算；3、2018年年底本级财政补助律师费未列入年初预算。</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367.68</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371.06</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，预决算差异率0.92%，差异主要原因是:增加新录用人员、增加工资福利支出。</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无政府性基金收支。</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无政府性基金收支。</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，预决算差异率0%，差异主要原因是:无政府性基金收支。</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43.93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。与上年相比，减少7.24万元，下降14.15%</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13.93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。与上年相比，减少37.24万元，下降72.78%。</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，与上年相比，减少0.22万元，下降100%，减少的主要原因是：</w:t>
      </w:r>
      <w:r>
        <w:rPr>
          <w:rFonts w:ascii="仿宋_GB2312" w:eastAsia="仿宋_GB2312"/>
          <w:sz w:val="32"/>
          <w:szCs w:val="32"/>
        </w:rPr>
        <w:t/>
      </w:r>
      <w:r>
        <w:rPr>
          <w:rFonts w:ascii="仿宋_GB2312" w:eastAsia="仿宋_GB2312" w:hint="eastAsia"/>
          <w:sz w:val="32"/>
          <w:szCs w:val="32"/>
        </w:rPr>
        <w:t>严格执行上级的要求,2018年无“三公”经费。</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，与上年相比，减少0.22万元，下降100%，减少的主要原因是：</w:t>
      </w:r>
      <w:r>
        <w:rPr>
          <w:rFonts w:ascii="仿宋_GB2312" w:eastAsia="仿宋_GB2312"/>
          <w:sz w:val="32"/>
          <w:szCs w:val="32"/>
        </w:rPr>
        <w:t/>
      </w:r>
      <w:r>
        <w:rPr>
          <w:rFonts w:ascii="仿宋_GB2312" w:eastAsia="仿宋_GB2312" w:hint="eastAsia"/>
          <w:sz w:val="32"/>
          <w:szCs w:val="32"/>
        </w:rPr>
        <w:t>严格执行上级对接待的要求，控制接待支出，厉行节约。</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新疆喀什地区文化馆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无此项收支。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公务用车，但本单位无公务用车</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严格执行上级对接待的要求，控制接待支出，厉行节约</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新疆喀什地区文化馆</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，预决算差异率0%，差异主要原因是:无差异；</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，预决算差异率0%，差异主要原因是:无差异；</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无差异。</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新疆喀什地区文化馆日常公用经费4.08万元，与上年相比，减少0.46万元，下降10.13%，减少的主要原因是：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2018年“三公”经费支出减少。</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14.33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13.83</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19.82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文化流动车；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2018年我单位共设3个预算绩效管理项目，并完成了年底的自评工作。</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1、文化创作经费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93.00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单位购置成本20万元，采购资金节约率为0；政府采节支率为0。效率性：政府采购率100%，购置教辅器材质量合格率95%，购置教辅器材验收合格率为95%。效益性：文化爱好者的经济压力明显减轻，为广大文化爱好者创设了良好的交流条件，馆内业务保障能力有效改善。</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2018年项目绩效目标已达成，无未完成说明。</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制定方案时，全局考虑，考虑活动对象，考虑活动地点，根据实际情况制定方案；固定人员安排，责任到人；活动完成后，及时收尾，相关及票据及时归库、及时报账。</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2、免费开馆补助</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87.64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121.66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46.05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37.85%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大力开展经济文化活动，减轻文化艺术者的经济压力效率性：全年免费开馆活动次数10场，全年免费开馆培训次数3期，展览次数17场，非遗活动、文艺汇演和农民画培训均大于5次，开馆活动完成率38%。效益性：文化爱好者的经济压力明显减轻，为广大文化爱好者创设了良好的交流条件，馆内业务保障能力有效改善。</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项目完成率53.33%，未执行46.67%，项目未完成的原因：1.单位本着节约的原则，节约了成本。2.单位的开展活动人员受限，把部分人员抽调，管寺活动，使开展活动的次数减少。3.由于2017年度单位结余结转免费开馆资金24.16万元，本年优先使用单位结转资金，造成此资金执行缓慢。</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制定方案时，全局考虑，考虑活动对象，考虑活动地点，根据实际情况制定方案；固定人员安排，责任到人；活动完成后，及时收尾，相关及票据及时归库、及时报账。</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3、律师费补助</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86.00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18.95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18.95</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经济性：律师费补助费项目，减轻文化馆的经济压力效率性：全年律师开庭次数2场，全年聘请律师人数1人，律师服务完成率100%。效益性：文化馆的经济压力明显减轻，馆内业务保障能力有效改善。</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项目完成率100%，不存在未完成原因。</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制定方案时，全局考虑，考虑活动对象，考虑活动地点，根据实际情况制定方案；固定人员安排，责任到人；活动完成后，及时收尾，相关及票据及时归库、及时报账。</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207（类）01（款）99（项）指：其他文化支出。207（类）99（款）99（项）指：其他文化体育与传媒支出。229（类）99（款）01（项）指：其他支出。207（类）01（款）09（项）指：群众文化。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77KdyeFpRw/DQjDKckYVIQ==" w:hash="CdK9Stz2cyvSpNyaoJIaKPI3ny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