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宋体"/>
          <w:kern w:val="0"/>
          <w:sz w:val="36"/>
          <w:szCs w:val="36"/>
        </w:rPr>
      </w:pPr>
      <w:r>
        <w:rPr>
          <w:rFonts w:hint="eastAsia" w:hAnsi="宋体" w:eastAsia="仿宋_GB2312" w:cs="宋体"/>
          <w:kern w:val="0"/>
          <w:sz w:val="36"/>
          <w:szCs w:val="36"/>
        </w:rPr>
        <w:t xml:space="preserve"> </w:t>
      </w:r>
      <w:r>
        <w:rPr>
          <w:rFonts w:hint="eastAsia" w:ascii="仿宋" w:hAnsi="仿宋" w:eastAsia="仿宋" w:cs="宋体"/>
          <w:kern w:val="0"/>
          <w:sz w:val="36"/>
          <w:szCs w:val="36"/>
        </w:rPr>
        <w:t xml:space="preserve">    项目名称：文物保护展柜项目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实施单位（公章）：喀什地区文物局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自治区主管部门（公章）：自治区文物局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项目负责人（签章）：刘永武</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 2018年 12 月 15 日</w:t>
      </w:r>
    </w:p>
    <w:p>
      <w:pPr>
        <w:adjustRightInd w:val="0"/>
        <w:snapToGrid w:val="0"/>
        <w:spacing w:line="560" w:lineRule="exact"/>
        <w:ind w:firstLine="723" w:firstLineChars="200"/>
        <w:jc w:val="center"/>
        <w:rPr>
          <w:rFonts w:ascii="黑体" w:hAnsi="黑体" w:eastAsia="黑体" w:cs="宋体"/>
          <w:b/>
          <w:kern w:val="0"/>
          <w:sz w:val="36"/>
          <w:szCs w:val="36"/>
        </w:rPr>
      </w:pPr>
    </w:p>
    <w:p>
      <w:pPr>
        <w:adjustRightInd w:val="0"/>
        <w:snapToGrid w:val="0"/>
        <w:spacing w:line="560" w:lineRule="exact"/>
        <w:ind w:firstLine="723" w:firstLineChars="200"/>
        <w:jc w:val="center"/>
        <w:rPr>
          <w:rFonts w:ascii="黑体" w:hAnsi="黑体" w:eastAsia="黑体" w:cs="宋体"/>
          <w:b/>
          <w:kern w:val="0"/>
          <w:sz w:val="36"/>
          <w:szCs w:val="36"/>
        </w:r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喀什地区文物局主要负责编制地区文物保护事业的中长期发展计划并组织实施,指导全地区文物保护管理机构的业务工作.申报国家级,自治区级文物保护单位,审核,申报文物的抢救性考古发掘,保护维修项目,组织或参与大型文物保护工程的施工及验收监督检查专项经费的使用情况;参与地区大中型基本建设项目中的文物保护工作;配合有关部门查处有关文物的违法,违章案件;负责管理流散文物及其经营活动,对旧货市场进行文物监管。</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喀什地区博物馆主要负责对具有历史、艺术、科学价值的可移动文物的征集、收藏、保管、陈列、展示。利用馆藏文物和博物馆阵地开展爱国主义宣传教育活动。对馆藏文物进行科学管理、科学保护、整理研究。</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喀什地区文物局、博物馆年末编制数35人，实有人数27人。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atLeast"/>
        <w:ind w:firstLine="624" w:firstLineChars="200"/>
        <w:rPr>
          <w:rStyle w:val="19"/>
          <w:rFonts w:ascii="仿宋" w:hAnsi="仿宋" w:eastAsia="仿宋"/>
          <w:b w:val="0"/>
          <w:color w:val="FF0000"/>
          <w:spacing w:val="-4"/>
          <w:sz w:val="32"/>
          <w:szCs w:val="32"/>
        </w:rPr>
      </w:pPr>
      <w:r>
        <w:rPr>
          <w:rStyle w:val="19"/>
          <w:rFonts w:hint="eastAsia" w:ascii="仿宋" w:hAnsi="仿宋" w:eastAsia="仿宋"/>
          <w:b w:val="0"/>
          <w:spacing w:val="-4"/>
          <w:sz w:val="32"/>
          <w:szCs w:val="32"/>
        </w:rPr>
        <w:t>本项目提高公共文化服务能力和服务水平，促进博物馆事业可持续发展。该项目为博物馆展柜，充分发挥专项资金的使用效率，能更好的展示文物，体现历史底蕴。</w:t>
      </w:r>
      <w:bookmarkStart w:id="0" w:name="_Toc405279309"/>
      <w:r>
        <w:rPr>
          <w:rStyle w:val="19"/>
          <w:rFonts w:hint="eastAsia" w:ascii="仿宋" w:hAnsi="仿宋" w:eastAsia="仿宋"/>
          <w:b w:val="0"/>
          <w:spacing w:val="-4"/>
          <w:sz w:val="32"/>
          <w:szCs w:val="32"/>
        </w:rPr>
        <w:t>针对馆藏文物,新疆四史等爱国主义教育的宣传，针对广大的基层群众无法到博物馆进行参观，对广大的基层群众博物馆以流动博物馆的形式送宣传到基层</w:t>
      </w:r>
      <w:r>
        <w:rPr>
          <w:rFonts w:hint="eastAsia" w:ascii="仿宋" w:hAnsi="仿宋" w:eastAsia="仿宋"/>
          <w:spacing w:val="-4"/>
          <w:sz w:val="32"/>
          <w:szCs w:val="32"/>
        </w:rPr>
        <w:t>本项目主要针对为了更好的完成喀什地区文物保护单位的看护工作，聘用靠近文物保护单位的周边居民作为看护员，目的为了保证文物保护单位的安全。</w:t>
      </w:r>
      <w:bookmarkEnd w:id="0"/>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rPr>
        <w:t>充分发挥专项资金的使用效率，提高公共文化服务能力和服务水平，促进博物馆事业可持续发展。该项目为博物馆展柜，能更好的展示文物，体现历史底蕴。对广大的基层群众无法到博物馆进行参观，因此针对广大的基层群众博物馆以流动博物馆的形式送宣传到基层，达到公共服务的综合作用。</w:t>
      </w:r>
      <w:r>
        <w:rPr>
          <w:rFonts w:hint="eastAsia" w:ascii="仿宋" w:hAnsi="仿宋" w:eastAsia="仿宋"/>
          <w:bCs/>
          <w:color w:val="000000" w:themeColor="text1"/>
          <w:spacing w:val="-4"/>
          <w:sz w:val="32"/>
          <w:szCs w:val="32"/>
        </w:rPr>
        <w:t>完成文物征集。</w:t>
      </w:r>
      <w:r>
        <w:rPr>
          <w:rFonts w:hint="eastAsia" w:ascii="仿宋" w:hAnsi="仿宋" w:eastAsia="仿宋"/>
          <w:bCs/>
          <w:spacing w:val="-4"/>
          <w:sz w:val="32"/>
          <w:szCs w:val="32"/>
        </w:rPr>
        <w:t>聘用看护员，支付临时人员的工资。</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Style w:val="19"/>
          <w:rFonts w:hint="eastAsia" w:ascii="仿宋" w:hAnsi="仿宋" w:eastAsia="仿宋"/>
          <w:b w:val="0"/>
          <w:spacing w:val="-4"/>
          <w:sz w:val="32"/>
          <w:szCs w:val="32"/>
        </w:rPr>
        <w:t>项目资金安排</w:t>
      </w:r>
      <w:r>
        <w:rPr>
          <w:rFonts w:hint="eastAsia" w:ascii="仿宋" w:hAnsi="仿宋" w:eastAsia="仿宋"/>
          <w:bCs/>
          <w:color w:val="000000" w:themeColor="text1"/>
          <w:spacing w:val="-4"/>
          <w:sz w:val="32"/>
          <w:szCs w:val="32"/>
        </w:rPr>
        <w:t>181</w:t>
      </w:r>
      <w:r>
        <w:rPr>
          <w:rFonts w:hint="eastAsia" w:ascii="仿宋" w:hAnsi="仿宋" w:eastAsia="仿宋"/>
          <w:bCs/>
          <w:color w:val="000000" w:themeColor="text1"/>
          <w:spacing w:val="-4"/>
          <w:sz w:val="32"/>
          <w:szCs w:val="32"/>
          <w:lang w:val="en-US" w:eastAsia="zh-CN"/>
        </w:rPr>
        <w:t>.04</w:t>
      </w:r>
      <w:r>
        <w:rPr>
          <w:rStyle w:val="19"/>
          <w:rFonts w:hint="eastAsia" w:ascii="仿宋" w:hAnsi="仿宋" w:eastAsia="仿宋"/>
          <w:b w:val="0"/>
          <w:spacing w:val="-4"/>
          <w:sz w:val="32"/>
          <w:szCs w:val="32"/>
        </w:rPr>
        <w:t>万元，是财政资金。</w:t>
      </w:r>
      <w:r>
        <w:rPr>
          <w:rFonts w:hint="eastAsia" w:ascii="仿宋" w:hAnsi="仿宋" w:eastAsia="仿宋"/>
          <w:bCs/>
          <w:spacing w:val="-4"/>
          <w:sz w:val="32"/>
          <w:szCs w:val="32"/>
        </w:rPr>
        <w:t>2018年实际收到预算资金</w:t>
      </w:r>
      <w:r>
        <w:rPr>
          <w:rFonts w:hint="eastAsia" w:ascii="仿宋" w:hAnsi="仿宋" w:eastAsia="仿宋"/>
          <w:bCs/>
          <w:color w:val="000000" w:themeColor="text1"/>
          <w:spacing w:val="-4"/>
          <w:sz w:val="32"/>
          <w:szCs w:val="32"/>
        </w:rPr>
        <w:t>181</w:t>
      </w:r>
      <w:r>
        <w:rPr>
          <w:rFonts w:hint="eastAsia" w:ascii="仿宋" w:hAnsi="仿宋" w:eastAsia="仿宋"/>
          <w:bCs/>
          <w:color w:val="000000" w:themeColor="text1"/>
          <w:spacing w:val="-4"/>
          <w:sz w:val="32"/>
          <w:szCs w:val="32"/>
          <w:lang w:val="en-US" w:eastAsia="zh-CN"/>
        </w:rPr>
        <w:t>.04</w:t>
      </w:r>
      <w:bookmarkStart w:id="1" w:name="_GoBack"/>
      <w:bookmarkEnd w:id="1"/>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758" w:firstLineChars="243"/>
        <w:rPr>
          <w:rStyle w:val="19"/>
          <w:rFonts w:ascii="楷体" w:hAnsi="楷体" w:eastAsia="仿宋"/>
          <w:color w:val="000000" w:themeColor="text1"/>
          <w:spacing w:val="-4"/>
          <w:sz w:val="32"/>
          <w:szCs w:val="32"/>
        </w:rPr>
      </w:pPr>
      <w:r>
        <w:rPr>
          <w:rFonts w:hint="eastAsia" w:ascii="仿宋" w:hAnsi="仿宋" w:eastAsia="仿宋"/>
          <w:bCs/>
          <w:color w:val="000000" w:themeColor="text1"/>
          <w:spacing w:val="-4"/>
          <w:sz w:val="32"/>
          <w:szCs w:val="32"/>
        </w:rPr>
        <w:t>专项资金实际使用181</w:t>
      </w:r>
      <w:r>
        <w:rPr>
          <w:rFonts w:hint="eastAsia" w:ascii="仿宋" w:hAnsi="仿宋" w:eastAsia="仿宋"/>
          <w:bCs/>
          <w:color w:val="000000" w:themeColor="text1"/>
          <w:spacing w:val="-4"/>
          <w:sz w:val="32"/>
          <w:szCs w:val="32"/>
          <w:lang w:val="en-US" w:eastAsia="zh-CN"/>
        </w:rPr>
        <w:t>.04</w:t>
      </w:r>
      <w:r>
        <w:rPr>
          <w:rFonts w:hint="eastAsia" w:ascii="仿宋" w:hAnsi="仿宋" w:eastAsia="仿宋"/>
          <w:bCs/>
          <w:color w:val="000000" w:themeColor="text1"/>
          <w:spacing w:val="-4"/>
          <w:sz w:val="32"/>
          <w:szCs w:val="32"/>
        </w:rPr>
        <w:t>万元，预算执行率100</w:t>
      </w:r>
      <w:r>
        <w:rPr>
          <w:rFonts w:ascii="仿宋" w:hAnsi="仿宋" w:eastAsia="仿宋"/>
          <w:bCs/>
          <w:color w:val="000000" w:themeColor="text1"/>
          <w:spacing w:val="-4"/>
          <w:sz w:val="32"/>
          <w:szCs w:val="32"/>
        </w:rPr>
        <w:t>%</w:t>
      </w:r>
      <w:r>
        <w:rPr>
          <w:rStyle w:val="19"/>
          <w:rFonts w:hint="eastAsia" w:ascii="楷体" w:hAnsi="楷体" w:eastAsia="楷体"/>
          <w:color w:val="000000" w:themeColor="text1"/>
          <w:spacing w:val="-4"/>
          <w:sz w:val="32"/>
          <w:szCs w:val="32"/>
        </w:rPr>
        <w:t>。</w:t>
      </w:r>
      <w:r>
        <w:rPr>
          <w:rFonts w:hint="eastAsia" w:ascii="仿宋" w:hAnsi="仿宋" w:eastAsia="仿宋"/>
          <w:bCs/>
          <w:color w:val="000000" w:themeColor="text1"/>
          <w:spacing w:val="-4"/>
          <w:sz w:val="32"/>
          <w:szCs w:val="32"/>
        </w:rPr>
        <w:t>项目资金主要用于支付流动博物馆6万元，文物征集11万元，文物界桩6.5万元，四有建设6.8万元，文物看护员工资79.6万元，支付展柜费用71.1万元，展柜费用</w:t>
      </w:r>
      <w:r>
        <w:rPr>
          <w:rStyle w:val="19"/>
          <w:rFonts w:hint="eastAsia" w:ascii="仿宋" w:hAnsi="仿宋" w:eastAsia="仿宋"/>
          <w:b w:val="0"/>
          <w:spacing w:val="-4"/>
          <w:sz w:val="32"/>
          <w:szCs w:val="32"/>
        </w:rPr>
        <w:t>现已报请地区审计部门进行审核后付余款。</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Style w:val="19"/>
          <w:rFonts w:ascii="仿宋" w:hAnsi="仿宋" w:eastAsia="仿宋"/>
          <w:b w:val="0"/>
          <w:bCs w:val="0"/>
          <w:color w:val="FF0000"/>
          <w:spacing w:val="-4"/>
          <w:sz w:val="32"/>
          <w:szCs w:val="32"/>
        </w:rPr>
      </w:pPr>
      <w:r>
        <w:rPr>
          <w:rFonts w:hint="eastAsia" w:ascii="仿宋" w:hAnsi="仿宋" w:eastAsia="仿宋"/>
          <w:bCs/>
          <w:color w:val="000000" w:themeColor="text1"/>
          <w:spacing w:val="-4"/>
          <w:sz w:val="32"/>
          <w:szCs w:val="32"/>
        </w:rPr>
        <w:t>严格按照专项经费的适用范围、专项资金的申请、专项资金的使用和管理等作了明确的规定。对资金的到位率、到位时效、支出依据、使用范围、开支标准、财务制度、会计核算基本上都得到了有效的实施。</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Style w:val="19"/>
          <w:rFonts w:hint="eastAsia" w:ascii="仿宋" w:hAnsi="仿宋" w:eastAsia="仿宋"/>
          <w:b w:val="0"/>
          <w:spacing w:val="-4"/>
          <w:sz w:val="32"/>
          <w:szCs w:val="32"/>
        </w:rPr>
        <w:t>本项目支出严格专项经费的适用范围、专项资金的申请、专项资金的使用和管理等作了明确的规定。对资金的到位率、到位时效、支出依据、使用范围、开支标准、财务制度、会计核算基本上都得到了有效的实施。展柜</w:t>
      </w:r>
      <w:r>
        <w:rPr>
          <w:rFonts w:hint="eastAsia" w:ascii="仿宋" w:hAnsi="仿宋" w:eastAsia="仿宋"/>
          <w:bCs/>
          <w:color w:val="000000" w:themeColor="text1"/>
          <w:spacing w:val="-4"/>
          <w:sz w:val="32"/>
          <w:szCs w:val="32"/>
        </w:rPr>
        <w:t>项目实施严格按照政府采购程序，进行公开招标。项目决策透明，管理规范，为按期完成各项工作任务提供了保障。项目资金为采购货物，经过财政评审中心初审，后挂网公开招标，现已供货完成，</w:t>
      </w:r>
      <w:r>
        <w:rPr>
          <w:rStyle w:val="19"/>
          <w:rFonts w:hint="eastAsia" w:ascii="仿宋" w:hAnsi="仿宋" w:eastAsia="仿宋"/>
          <w:b w:val="0"/>
          <w:spacing w:val="-4"/>
          <w:sz w:val="32"/>
          <w:szCs w:val="32"/>
        </w:rPr>
        <w:t>本项目不存在调整情况。</w:t>
      </w:r>
      <w:r>
        <w:rPr>
          <w:rFonts w:hint="eastAsia" w:ascii="仿宋" w:hAnsi="仿宋" w:eastAsia="仿宋"/>
          <w:bCs/>
          <w:color w:val="000000" w:themeColor="text1"/>
          <w:spacing w:val="-4"/>
          <w:sz w:val="32"/>
          <w:szCs w:val="32"/>
        </w:rPr>
        <w:t>同时报请地区审计部门进行审核。</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color w:val="FF0000"/>
          <w:spacing w:val="-4"/>
          <w:sz w:val="32"/>
          <w:szCs w:val="32"/>
        </w:rPr>
      </w:pPr>
      <w:r>
        <w:rPr>
          <w:rFonts w:hint="eastAsia" w:ascii="仿宋" w:hAnsi="仿宋" w:eastAsia="仿宋"/>
          <w:bCs/>
          <w:color w:val="000000" w:themeColor="text1"/>
          <w:spacing w:val="-4"/>
          <w:sz w:val="32"/>
          <w:szCs w:val="32"/>
        </w:rPr>
        <w:t>项目按照专项资金管理的要求，对文物保护经费项目进行专项核算，做到专款专用。展柜项目现已通过初验、达到验收要求；</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22</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22</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经济性：严格按照合同支付合同款项。</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效率性：严格按照合同执行支付合同款项。</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rPr>
        <w:t>效益性：项目实施后游客逐渐增多。</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hint="eastAsia" w:ascii="仿宋" w:hAnsi="仿宋" w:eastAsia="仿宋"/>
          <w:spacing w:val="-4"/>
          <w:sz w:val="32"/>
          <w:szCs w:val="32"/>
        </w:rPr>
      </w:pPr>
      <w:r>
        <w:rPr>
          <w:rFonts w:hint="eastAsia" w:ascii="仿宋" w:hAnsi="仿宋" w:eastAsia="仿宋"/>
          <w:spacing w:val="-4"/>
          <w:sz w:val="32"/>
          <w:szCs w:val="32"/>
        </w:rPr>
        <w:t>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下一年度</w:t>
      </w:r>
      <w:r>
        <w:rPr>
          <w:rFonts w:hint="eastAsia" w:ascii="仿宋" w:hAnsi="仿宋" w:eastAsia="仿宋"/>
          <w:bCs/>
          <w:color w:val="000000" w:themeColor="text1"/>
          <w:spacing w:val="-4"/>
          <w:sz w:val="32"/>
          <w:szCs w:val="32"/>
        </w:rPr>
        <w:t>继续实施该项目</w:t>
      </w:r>
      <w:r>
        <w:rPr>
          <w:rFonts w:ascii="仿宋" w:hAnsi="仿宋" w:eastAsia="仿宋"/>
          <w:bCs/>
          <w:color w:val="000000" w:themeColor="text1"/>
          <w:spacing w:val="-4"/>
          <w:sz w:val="32"/>
          <w:szCs w:val="32"/>
        </w:rPr>
        <w:t>。</w:t>
      </w:r>
    </w:p>
    <w:p>
      <w:pPr>
        <w:adjustRightInd w:val="0"/>
        <w:snapToGrid w:val="0"/>
        <w:spacing w:line="560" w:lineRule="exact"/>
        <w:ind w:firstLine="627" w:firstLineChars="200"/>
        <w:outlineLvl w:val="0"/>
        <w:rPr>
          <w:rFonts w:ascii="仿宋" w:hAnsi="仿宋" w:eastAsia="仿宋"/>
          <w:bCs/>
          <w:color w:val="FF0000"/>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r>
        <w:rPr>
          <w:rFonts w:hint="eastAsia" w:ascii="仿宋" w:hAnsi="仿宋" w:eastAsia="仿宋"/>
          <w:bCs/>
          <w:color w:val="000000" w:themeColor="text1"/>
          <w:spacing w:val="-4"/>
          <w:sz w:val="32"/>
          <w:szCs w:val="32"/>
        </w:rPr>
        <w:t>主要完成文物征集，文物保护单位立四有工作标志牌界桩，流动博物馆活动经费，</w:t>
      </w:r>
      <w:r>
        <w:rPr>
          <w:rStyle w:val="19"/>
          <w:rFonts w:hint="eastAsia" w:ascii="仿宋" w:hAnsi="仿宋" w:eastAsia="仿宋"/>
          <w:b w:val="0"/>
          <w:spacing w:val="-4"/>
          <w:sz w:val="32"/>
          <w:szCs w:val="32"/>
        </w:rPr>
        <w:t>对广大的基层群众博物馆以流动博物馆的形式送宣传到基层，达到公共服务的综合作用。</w:t>
      </w:r>
      <w:r>
        <w:rPr>
          <w:rFonts w:hint="eastAsia" w:ascii="仿宋" w:hAnsi="仿宋" w:eastAsia="仿宋"/>
          <w:bCs/>
          <w:color w:val="000000" w:themeColor="text1"/>
          <w:spacing w:val="-4"/>
          <w:sz w:val="32"/>
          <w:szCs w:val="32"/>
        </w:rPr>
        <w:t>预防性保护专项经费项目通过实施文物保护工程，使现有的馆藏文物得以科学的收藏，提升文物库房保存环境质量，以及文物环境的及时感应。</w:t>
      </w:r>
      <w:r>
        <w:rPr>
          <w:rFonts w:hint="eastAsia" w:ascii="仿宋" w:hAnsi="仿宋" w:eastAsia="仿宋"/>
          <w:bCs/>
          <w:spacing w:val="-4"/>
          <w:sz w:val="32"/>
          <w:szCs w:val="32"/>
        </w:rPr>
        <w:t>通过对附近的居民雇佣看护文物保护单位起到了保护文物保护单位的作用。增强了群众的文物保护意识、扩大了本地文物保护的社会影响力。</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其预防性保护项目资金的使用效率和效果，项目管理过程规范，完成了预期绩效目标等。同时，通过开展自我评价来总结经验和教训，为其他项目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rPr>
          <w:rStyle w:val="19"/>
          <w:rFonts w:ascii="仿宋" w:hAnsi="仿宋" w:eastAsia="仿宋"/>
          <w:spacing w:val="-4"/>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F25A3"/>
    <w:rsid w:val="0012208E"/>
    <w:rsid w:val="00135256"/>
    <w:rsid w:val="001A4E1F"/>
    <w:rsid w:val="001A57B9"/>
    <w:rsid w:val="001C3847"/>
    <w:rsid w:val="001C7112"/>
    <w:rsid w:val="001F3031"/>
    <w:rsid w:val="00210A26"/>
    <w:rsid w:val="002A2532"/>
    <w:rsid w:val="002D5865"/>
    <w:rsid w:val="00365250"/>
    <w:rsid w:val="0036624C"/>
    <w:rsid w:val="00381E8D"/>
    <w:rsid w:val="00385849"/>
    <w:rsid w:val="0050167F"/>
    <w:rsid w:val="00514506"/>
    <w:rsid w:val="005162F1"/>
    <w:rsid w:val="00535153"/>
    <w:rsid w:val="00575CFE"/>
    <w:rsid w:val="00592D09"/>
    <w:rsid w:val="005B38A0"/>
    <w:rsid w:val="00621B89"/>
    <w:rsid w:val="00675D58"/>
    <w:rsid w:val="006F2E6D"/>
    <w:rsid w:val="00703F88"/>
    <w:rsid w:val="007218B8"/>
    <w:rsid w:val="00785FDE"/>
    <w:rsid w:val="007A0351"/>
    <w:rsid w:val="007A14BC"/>
    <w:rsid w:val="007C1025"/>
    <w:rsid w:val="007E6570"/>
    <w:rsid w:val="007E6845"/>
    <w:rsid w:val="007F5F8A"/>
    <w:rsid w:val="00826CA1"/>
    <w:rsid w:val="00835B7F"/>
    <w:rsid w:val="00855E3A"/>
    <w:rsid w:val="00922CB9"/>
    <w:rsid w:val="009B526F"/>
    <w:rsid w:val="009C1AFD"/>
    <w:rsid w:val="00A26421"/>
    <w:rsid w:val="00A4293B"/>
    <w:rsid w:val="00A83BD5"/>
    <w:rsid w:val="00AD519E"/>
    <w:rsid w:val="00B06CA5"/>
    <w:rsid w:val="00B300CE"/>
    <w:rsid w:val="00B41F61"/>
    <w:rsid w:val="00B55332"/>
    <w:rsid w:val="00B86E8C"/>
    <w:rsid w:val="00BE1A00"/>
    <w:rsid w:val="00C22CF0"/>
    <w:rsid w:val="00C56C72"/>
    <w:rsid w:val="00CA6457"/>
    <w:rsid w:val="00CC6E4D"/>
    <w:rsid w:val="00D17F2E"/>
    <w:rsid w:val="00D46194"/>
    <w:rsid w:val="00D858E2"/>
    <w:rsid w:val="00D90E7A"/>
    <w:rsid w:val="00E01293"/>
    <w:rsid w:val="00E769FE"/>
    <w:rsid w:val="00EA2CBE"/>
    <w:rsid w:val="00F32FEE"/>
    <w:rsid w:val="06AE493C"/>
    <w:rsid w:val="15117DEE"/>
    <w:rsid w:val="20D2011F"/>
    <w:rsid w:val="2161023C"/>
    <w:rsid w:val="560441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uiPriority w:val="99"/>
    <w:rPr>
      <w:rFonts w:ascii="宋体"/>
      <w:sz w:val="18"/>
      <w:szCs w:val="18"/>
    </w:rPr>
  </w:style>
  <w:style w:type="paragraph" w:styleId="12">
    <w:name w:val="Balloon Text"/>
    <w:basedOn w:val="1"/>
    <w:link w:val="47"/>
    <w:semiHidden/>
    <w:unhideWhenUsed/>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uiPriority w:val="9"/>
    <w:rPr>
      <w:rFonts w:asciiTheme="majorHAnsi" w:hAnsiTheme="majorHAnsi" w:eastAsiaTheme="majorEastAsia"/>
      <w:b/>
      <w:bCs/>
      <w:kern w:val="32"/>
      <w:sz w:val="32"/>
      <w:szCs w:val="32"/>
    </w:rPr>
  </w:style>
  <w:style w:type="character" w:customStyle="1" w:styleId="22">
    <w:name w:val="标题 2 Char"/>
    <w:basedOn w:val="18"/>
    <w:link w:val="3"/>
    <w:semiHidden/>
    <w:uiPriority w:val="9"/>
    <w:rPr>
      <w:rFonts w:asciiTheme="majorHAnsi" w:hAnsiTheme="majorHAnsi" w:eastAsiaTheme="majorEastAsia"/>
      <w:b/>
      <w:bCs/>
      <w:i/>
      <w:iCs/>
      <w:sz w:val="28"/>
      <w:szCs w:val="28"/>
    </w:rPr>
  </w:style>
  <w:style w:type="character" w:customStyle="1" w:styleId="23">
    <w:name w:val="标题 3 Char"/>
    <w:basedOn w:val="18"/>
    <w:link w:val="4"/>
    <w:semiHidden/>
    <w:uiPriority w:val="9"/>
    <w:rPr>
      <w:rFonts w:asciiTheme="majorHAnsi" w:hAnsiTheme="majorHAnsi" w:eastAsiaTheme="majorEastAsia"/>
      <w:b/>
      <w:bCs/>
      <w:sz w:val="26"/>
      <w:szCs w:val="26"/>
    </w:rPr>
  </w:style>
  <w:style w:type="character" w:customStyle="1" w:styleId="24">
    <w:name w:val="标题 4 Char"/>
    <w:basedOn w:val="18"/>
    <w:link w:val="5"/>
    <w:semiHidden/>
    <w:uiPriority w:val="9"/>
    <w:rPr>
      <w:b/>
      <w:bCs/>
      <w:sz w:val="28"/>
      <w:szCs w:val="28"/>
    </w:rPr>
  </w:style>
  <w:style w:type="character" w:customStyle="1" w:styleId="25">
    <w:name w:val="标题 5 Char"/>
    <w:basedOn w:val="18"/>
    <w:link w:val="6"/>
    <w:semiHidden/>
    <w:uiPriority w:val="9"/>
    <w:rPr>
      <w:b/>
      <w:bCs/>
      <w:i/>
      <w:iCs/>
      <w:sz w:val="26"/>
      <w:szCs w:val="26"/>
    </w:rPr>
  </w:style>
  <w:style w:type="character" w:customStyle="1" w:styleId="26">
    <w:name w:val="标题 6 Char"/>
    <w:basedOn w:val="18"/>
    <w:link w:val="7"/>
    <w:semiHidden/>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uiPriority w:val="9"/>
    <w:rPr>
      <w:i/>
      <w:iCs/>
      <w:sz w:val="24"/>
      <w:szCs w:val="24"/>
    </w:rPr>
  </w:style>
  <w:style w:type="character" w:customStyle="1" w:styleId="29">
    <w:name w:val="标题 9 Char"/>
    <w:basedOn w:val="18"/>
    <w:link w:val="10"/>
    <w:semiHidden/>
    <w:uiPriority w:val="9"/>
    <w:rPr>
      <w:rFonts w:asciiTheme="majorHAnsi" w:hAnsiTheme="majorHAnsi" w:eastAsiaTheme="majorEastAsia"/>
    </w:rPr>
  </w:style>
  <w:style w:type="character" w:customStyle="1" w:styleId="30">
    <w:name w:val="标题 Char"/>
    <w:basedOn w:val="18"/>
    <w:link w:val="16"/>
    <w:uiPriority w:val="10"/>
    <w:rPr>
      <w:rFonts w:asciiTheme="majorHAnsi" w:hAnsiTheme="majorHAnsi" w:eastAsiaTheme="majorEastAsia"/>
      <w:b/>
      <w:bCs/>
      <w:kern w:val="28"/>
      <w:sz w:val="32"/>
      <w:szCs w:val="32"/>
    </w:rPr>
  </w:style>
  <w:style w:type="character" w:customStyle="1" w:styleId="31">
    <w:name w:val="副标题 Char"/>
    <w:basedOn w:val="18"/>
    <w:link w:val="15"/>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4"/>
    <w:uiPriority w:val="99"/>
    <w:rPr>
      <w:rFonts w:ascii="Calibri" w:hAnsi="Calibri" w:eastAsia="宋体"/>
      <w:kern w:val="2"/>
      <w:sz w:val="18"/>
      <w:szCs w:val="18"/>
    </w:rPr>
  </w:style>
  <w:style w:type="character" w:customStyle="1" w:styleId="45">
    <w:name w:val="页脚 Char"/>
    <w:basedOn w:val="18"/>
    <w:link w:val="13"/>
    <w:uiPriority w:val="99"/>
    <w:rPr>
      <w:rFonts w:ascii="Calibri" w:hAnsi="Calibri" w:eastAsia="宋体"/>
      <w:kern w:val="2"/>
      <w:sz w:val="18"/>
      <w:szCs w:val="18"/>
    </w:rPr>
  </w:style>
  <w:style w:type="character" w:customStyle="1" w:styleId="46">
    <w:name w:val="文档结构图 Char"/>
    <w:basedOn w:val="18"/>
    <w:link w:val="11"/>
    <w:semiHidden/>
    <w:uiPriority w:val="99"/>
    <w:rPr>
      <w:rFonts w:ascii="宋体" w:hAnsi="Times New Roman" w:eastAsia="宋体"/>
      <w:kern w:val="2"/>
      <w:sz w:val="18"/>
      <w:szCs w:val="18"/>
    </w:rPr>
  </w:style>
  <w:style w:type="character" w:customStyle="1" w:styleId="47">
    <w:name w:val="批注框文本 Char"/>
    <w:basedOn w:val="18"/>
    <w:link w:val="12"/>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17E32F-97C5-4098-90EA-5C55D4CBE722}">
  <ds:schemaRefs/>
</ds:datastoreItem>
</file>

<file path=docProps/app.xml><?xml version="1.0" encoding="utf-8"?>
<Properties xmlns="http://schemas.openxmlformats.org/officeDocument/2006/extended-properties" xmlns:vt="http://schemas.openxmlformats.org/officeDocument/2006/docPropsVTypes">
  <Template>Normal</Template>
  <Pages>5</Pages>
  <Words>315</Words>
  <Characters>1802</Characters>
  <Lines>15</Lines>
  <Paragraphs>4</Paragraphs>
  <TotalTime>1</TotalTime>
  <ScaleCrop>false</ScaleCrop>
  <LinksUpToDate>false</LinksUpToDate>
  <CharactersWithSpaces>2113</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菩提_薇薇安</cp:lastModifiedBy>
  <cp:lastPrinted>2018-12-17T10:15:00Z</cp:lastPrinted>
  <dcterms:modified xsi:type="dcterms:W3CDTF">2019-08-23T15:24:00Z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