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2018年度新疆维吾尔自治区喀什地区文物局部门决算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负责对具有历史、艺术、科学价值的可移动文物的征集、收藏、保管、陈列、展示。利用馆藏文物和博物馆阵地开展爱国主义宣传教育活动。对馆藏文物进行科学管理、科学保护、整理研究。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新疆维吾尔自治区喀什地区文物局</w:t>
      </w:r>
      <w:r>
        <w:rPr>
          <w:rFonts w:hint="eastAsia" w:ascii="仿宋_GB2312" w:eastAsia="仿宋_GB2312"/>
          <w:sz w:val="32"/>
          <w:szCs w:val="32"/>
        </w:rPr>
        <w:t>部门决算包括：</w:t>
      </w:r>
      <w:r>
        <w:rPr>
          <w:rFonts w:ascii="仿宋_GB2312" w:eastAsia="仿宋_GB2312"/>
          <w:sz w:val="32"/>
          <w:szCs w:val="32"/>
        </w:rPr>
        <w:t>新疆维吾尔自治区喀什地区文物局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新疆维吾尔自治区喀什地区文物局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新疆维吾尔自治区喀什地区文物局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989.85</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，与上年相比，增加540.66万元，增长120.36%，增加的主要原因是：</w:t>
      </w:r>
      <w:r>
        <w:rPr>
          <w:rFonts w:hint="eastAsia" w:ascii="仿宋_GB2312" w:eastAsia="仿宋_GB2312"/>
          <w:color w:val="000000" w:themeColor="text1"/>
          <w:sz w:val="32"/>
          <w:szCs w:val="32"/>
        </w:rPr>
        <w:t>文物保护专项经费增加，预防性保护项目及文物展柜项目的增加，免费开放资金的增加；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1,090.44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，与上年相比，增加390.15万元，增长55.71%，增加的主要原因是：</w:t>
      </w:r>
      <w:r>
        <w:rPr>
          <w:rFonts w:hint="eastAsia" w:ascii="仿宋_GB2312" w:eastAsia="仿宋_GB2312"/>
          <w:color w:val="000000" w:themeColor="text1"/>
          <w:sz w:val="32"/>
          <w:szCs w:val="32"/>
        </w:rPr>
        <w:t>文物保护专项经费增加，预防性保护项目及文物展柜项目的增加；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53.43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，与上年相比，减少100.59万元，下降65.31%，减少的主要原因是：</w:t>
      </w:r>
      <w:r>
        <w:rPr>
          <w:rFonts w:ascii="仿宋_GB2312" w:eastAsia="仿宋_GB2312"/>
          <w:color w:val="000000" w:themeColor="text1"/>
          <w:sz w:val="32"/>
          <w:szCs w:val="32"/>
        </w:rPr>
        <w:t>文物保护专项结转资金的使用及免费开放资金的使用，是结转资金的减少。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989.85</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956.85</w:t>
      </w:r>
      <w:r>
        <w:rPr>
          <w:rFonts w:hint="eastAsia" w:ascii="仿宋_GB2312" w:eastAsia="仿宋_GB2312"/>
          <w:color w:val="000000" w:themeColor="text1"/>
          <w:sz w:val="32"/>
          <w:szCs w:val="32"/>
        </w:rPr>
        <w:t>万元，占</w:t>
      </w:r>
      <w:r>
        <w:rPr>
          <w:rFonts w:hint="eastAsia" w:ascii="仿宋_GB2312" w:eastAsia="仿宋_GB2312"/>
          <w:sz w:val="32"/>
          <w:szCs w:val="32"/>
        </w:rPr>
        <w:t>96.67%</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33</w:t>
      </w:r>
      <w:r>
        <w:rPr>
          <w:rFonts w:hint="eastAsia" w:ascii="仿宋_GB2312" w:eastAsia="仿宋_GB2312"/>
          <w:color w:val="000000" w:themeColor="text1"/>
          <w:sz w:val="32"/>
          <w:szCs w:val="32"/>
        </w:rPr>
        <w:t>万元，占</w:t>
      </w:r>
      <w:r>
        <w:rPr>
          <w:rFonts w:hint="eastAsia" w:ascii="仿宋_GB2312" w:eastAsia="仿宋_GB2312"/>
          <w:sz w:val="32"/>
          <w:szCs w:val="32"/>
        </w:rPr>
        <w:t>3.33%</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况：本年收入年初预算数370.05万元</w:t>
      </w:r>
      <w:r>
        <w:rPr>
          <w:rFonts w:hint="eastAsia" w:ascii="仿宋_GB2312" w:eastAsia="仿宋_GB2312"/>
          <w:sz w:val="32"/>
          <w:szCs w:val="32"/>
        </w:rPr>
        <w:t>，决算数989.85万元</w:t>
      </w:r>
      <w:r>
        <w:rPr>
          <w:rFonts w:ascii="仿宋_GB2312" w:eastAsia="仿宋_GB2312"/>
          <w:sz w:val="32"/>
          <w:szCs w:val="32"/>
        </w:rPr>
        <w:t>，预决算差异率167.49%，差异主要原因是:项目的增加，文物保护展柜项目收入，博物馆免费开放收入，预防性保护项目收入增加。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1,090.44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383.1</w:t>
      </w:r>
      <w:r>
        <w:rPr>
          <w:rFonts w:hint="eastAsia" w:ascii="仿宋_GB2312" w:eastAsia="仿宋_GB2312"/>
          <w:color w:val="000000" w:themeColor="text1"/>
          <w:sz w:val="32"/>
          <w:szCs w:val="32"/>
        </w:rPr>
        <w:t>万元，占</w:t>
      </w:r>
      <w:r>
        <w:rPr>
          <w:rFonts w:hint="eastAsia" w:ascii="仿宋_GB2312" w:eastAsia="仿宋_GB2312"/>
          <w:sz w:val="32"/>
          <w:szCs w:val="32"/>
        </w:rPr>
        <w:t>35.13%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707.34</w:t>
      </w:r>
      <w:r>
        <w:rPr>
          <w:rFonts w:hint="eastAsia" w:ascii="仿宋_GB2312" w:eastAsia="仿宋_GB2312"/>
          <w:color w:val="000000" w:themeColor="text1"/>
          <w:sz w:val="32"/>
          <w:szCs w:val="32"/>
        </w:rPr>
        <w:t>万元，占</w:t>
      </w:r>
      <w:r>
        <w:rPr>
          <w:rFonts w:hint="eastAsia" w:ascii="仿宋_GB2312" w:eastAsia="仿宋_GB2312"/>
          <w:sz w:val="32"/>
          <w:szCs w:val="32"/>
        </w:rPr>
        <w:t>64.87%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与年初预算数相比情况：本年支出年初预算数1,375万元，</w:t>
      </w:r>
      <w:r>
        <w:rPr>
          <w:rFonts w:hint="eastAsia" w:ascii="仿宋_GB2312" w:eastAsia="仿宋_GB2312"/>
          <w:sz w:val="32"/>
          <w:szCs w:val="32"/>
        </w:rPr>
        <w:t>决算数1,090.44万元</w:t>
      </w:r>
      <w:r>
        <w:rPr>
          <w:rFonts w:ascii="仿宋_GB2312" w:eastAsia="仿宋_GB2312"/>
          <w:sz w:val="32"/>
          <w:szCs w:val="32"/>
        </w:rPr>
        <w:t>，预决算差异率-20.7%，差异主要原因是:专项资金博物馆布展费150万元未执行完。文物保护专项资金53万元未执行完，预防性保护项目和文物保护展柜项目尾款资金未付。</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956.85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，与上年相比，增加536.26万元，增长127.5%，增加的主要原因是：文物保护专项经费增加，预防性保护项目及文物展柜项目的增加，免费开放资金的增加。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1,021.63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，与上年相比，增加533.25万元，增长109.19%，增加的主要原因是：</w:t>
      </w:r>
      <w:r>
        <w:rPr>
          <w:rFonts w:ascii="仿宋_GB2312" w:eastAsia="仿宋_GB2312"/>
          <w:sz w:val="32"/>
          <w:szCs w:val="32"/>
        </w:rPr>
        <w:t>文物保护专项经费增加，预防性保护项目及文物展柜项目的增加。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383.1</w:t>
      </w:r>
      <w:r>
        <w:rPr>
          <w:rFonts w:hint="eastAsia" w:ascii="仿宋_GB2312" w:eastAsia="仿宋_GB2312"/>
          <w:color w:val="000000" w:themeColor="text1"/>
          <w:sz w:val="32"/>
          <w:szCs w:val="32"/>
        </w:rPr>
        <w:t>万元，项目支出</w:t>
      </w:r>
      <w:r>
        <w:rPr>
          <w:rFonts w:hint="eastAsia" w:ascii="仿宋_GB2312" w:eastAsia="仿宋_GB2312"/>
          <w:sz w:val="32"/>
          <w:szCs w:val="32"/>
        </w:rPr>
        <w:t>638.53</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，与上年相比，减少64.78万元，下降100%，减少的主要原因是：结转项目执行完，当年无结转。</w:t>
      </w:r>
      <w:bookmarkEnd w:id="29"/>
    </w:p>
    <w:p>
      <w:pPr>
        <w:spacing w:line="540" w:lineRule="exact"/>
        <w:ind w:firstLine="640" w:firstLineChars="200"/>
        <w:rPr>
          <w:rFonts w:ascii="仿宋_GB2312" w:eastAsia="仿宋_GB2312"/>
          <w:color w:val="000000" w:themeColor="text1"/>
          <w:sz w:val="32"/>
          <w:szCs w:val="32"/>
          <w:highlight w:val="none"/>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370.05</w:t>
      </w:r>
      <w:r>
        <w:rPr>
          <w:rFonts w:hint="eastAsia" w:ascii="仿宋_GB2312" w:eastAsia="仿宋_GB2312"/>
          <w:color w:val="000000" w:themeColor="text1"/>
          <w:sz w:val="32"/>
          <w:szCs w:val="32"/>
        </w:rPr>
        <w:t>万元，决算数</w:t>
      </w:r>
      <w:r>
        <w:rPr>
          <w:rFonts w:hint="eastAsia" w:ascii="仿宋_GB2312" w:eastAsia="仿宋_GB2312"/>
          <w:sz w:val="32"/>
          <w:szCs w:val="32"/>
        </w:rPr>
        <w:t>956.85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，预决算差异率158.57%，差异主要原因是:项目的增加，文物保护展柜项目收入，博物馆免费开放收入，预防性保护项目收入增加。</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1,375</w:t>
      </w:r>
      <w:r>
        <w:rPr>
          <w:rFonts w:hint="eastAsia" w:ascii="仿宋_GB2312" w:eastAsia="仿宋_GB2312"/>
          <w:color w:val="000000" w:themeColor="text1"/>
          <w:sz w:val="32"/>
          <w:szCs w:val="32"/>
        </w:rPr>
        <w:t>万元，决算数</w:t>
      </w:r>
      <w:r>
        <w:rPr>
          <w:rFonts w:hint="eastAsia" w:ascii="仿宋_GB2312" w:eastAsia="仿宋_GB2312"/>
          <w:sz w:val="32"/>
          <w:szCs w:val="32"/>
        </w:rPr>
        <w:t>1,021.63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，预决算差异率-25.7%，差异主要原因是</w:t>
      </w:r>
      <w:r>
        <w:rPr>
          <w:rFonts w:ascii="仿宋_GB2312" w:eastAsia="仿宋_GB2312"/>
          <w:color w:val="000000" w:themeColor="text1"/>
          <w:sz w:val="32"/>
          <w:szCs w:val="32"/>
          <w:highlight w:val="none"/>
        </w:rPr>
        <w:t>:预防性保护项目及文物展柜项目</w:t>
      </w:r>
      <w:r>
        <w:rPr>
          <w:rFonts w:hint="eastAsia" w:ascii="仿宋_GB2312" w:eastAsia="仿宋_GB2312"/>
          <w:color w:val="000000" w:themeColor="text1"/>
          <w:sz w:val="32"/>
          <w:szCs w:val="32"/>
          <w:highlight w:val="none"/>
        </w:rPr>
        <w:t>未执行完毕</w:t>
      </w:r>
      <w:r>
        <w:rPr>
          <w:rFonts w:ascii="仿宋_GB2312" w:eastAsia="仿宋_GB2312"/>
          <w:color w:val="000000" w:themeColor="text1"/>
          <w:sz w:val="32"/>
          <w:szCs w:val="32"/>
          <w:highlight w:val="none"/>
        </w:rPr>
        <w:t>。</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bookmarkStart w:id="92" w:name="_GoBack"/>
      <w:bookmarkEnd w:id="92"/>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956.85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，与上年相比，增加536.26万元，增长127.5%，增加的主要原因是：文物保护专项经费增加，预防性保护项目及文物展柜项目的增加，免费开放资金的增加。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1,021.63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，与上年相比，增加533.25万元，增长109.19%，增加的主要原因是：文物保护专项经费增加，预防性保护项目及文物展柜项目的增加。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住房保障支出23.78万元,文化体育与传媒支出958.23万元,其他支出1.98万元,社会保障和就业支出37.64万元。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工资福利支出354.45万元,商品和服务支出632.17万元,对个人和家庭的补助22.68万元,资本性支出12.34万元。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370.05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956.85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，预决算差异率158.57%，差异主要原因是:项目的增加，文物保护展柜项目收入，博物馆免费开放收入，预防性保护项目收入增加。</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1,375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1,021.63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，预决算差异率-25.7%，差异主要原因是:专项资金博物馆布展费150万元未执行完。文物保护专项资金53万元未执行完，预防性保护项目和文物保护展柜项目尾款资金未付。</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53.43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。与上年相比，减少100.59万元，下降65.31%</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。与上年相比，减少64.78万元，下降100%。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2.6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，与上年相比，增加0.15万元，增长6.12%，增加的主要原因是：车辆运行维修费增加。</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2.6</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100%，与上年相比，增加0.58万元，增长28.71%，增加的主要原因是：车辆运行维修费增加；</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0%，与上年相比，减少0.43万元，下降100%，减少的主要原因是：减少接待费用。</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新疆维吾尔自治区喀什地区文物局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2.6</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2.6</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公务用车运行的保险费、油费及维修费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新疆维吾尔自治区喀什地区文物局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万元，决算数2.6万元</w:t>
      </w:r>
      <w:r>
        <w:rPr>
          <w:rFonts w:ascii="仿宋_GB2312" w:eastAsia="仿宋_GB2312"/>
          <w:color w:val="000000" w:themeColor="text1"/>
          <w:sz w:val="32"/>
          <w:szCs w:val="32"/>
        </w:rPr>
        <w:t>，预决算差异率0%，差异主要原因是:无变化。</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无变化。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新疆维吾尔自治区喀什地区文物局日常公用经费7.95万元，与上年相比，减少0.67万元，下降7.77%，减少的主要原因是：日常公用的减少。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327.73</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281.09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46.64</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34.32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文物保护业务用车；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单位4个项目，开展绩效管理和绩效自评开展以来，总体按目标执行。</w:t>
      </w:r>
    </w:p>
    <w:p>
      <w:pPr>
        <w:spacing w:line="540" w:lineRule="exact"/>
        <w:ind w:left="-1" w:right="-1" w:firstLine="646"/>
        <w:jc w:val="left"/>
      </w:pPr>
      <w:r>
        <w:rPr>
          <w:rFonts w:ascii="仿宋_GB2312" w:hAnsi="仿宋_GB2312" w:eastAsia="仿宋_GB2312" w:cs="仿宋_GB2312"/>
          <w:b w:val="0"/>
          <w:color w:val="auto"/>
          <w:sz w:val="32"/>
          <w:u w:val="none"/>
        </w:rPr>
        <w:t>1、工作经费补助项目绩效自评综述：根据年初设定的绩效目标，该项目绩效自评得分为83分。项目全年预算数为1.98万元，执行数为1.98万元，完成预算的100%。主要产出和效果：地委在落实总目标、全力做好工作的前提下安排的资金、对落实总目标、做好工作、开展工作有很大的帮助和意义。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博物馆展柜项目绩效自评综述：根据年初设定的绩效目标，该项目绩效自评得分为80分。项目全年预算数为181.04万元，执行数为181.04万元，完成预算的100%。主要产出和效果：主要完成文物征集，文物保护单位立四有工作标志牌界桩，流动博物馆活动经费，对广大的基层群众博物馆以流动博物馆的形式送宣传到基层，达到公共服务的综合作用。预防性保护专项经费项目通过实施文物保护工程，使现有的馆藏文物得以科学的收藏，提升文物库房保存环境质量，以及文物环境的及时感应。通过对附近的居民雇佣看护文物保护单位起到了保护文物保护单位的作用。增强了群众的文物保护意识、扩大了本地文物保护的社会影响力。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3、预防性保护项目绩效自评综述：根据年初设定的绩效目标，该项目绩效自评得分为79.63分。项目全年预算数为430.02万元，执行数为376.58万元，完成预算的87.57%。主要产出和效果：使现有的馆藏文物得以科学的收藏，提升文物库房保存环境质量，以及文物环境的及时感应。项目实施后游客逐渐增多。发现的问题及原因：资金使用进度慢。下一步改进措施： 加强资金使用率。</w:t>
      </w:r>
    </w:p>
    <w:p>
      <w:pPr>
        <w:spacing w:line="540" w:lineRule="exact"/>
        <w:ind w:left="-1" w:right="-1" w:firstLine="646"/>
        <w:jc w:val="left"/>
      </w:pPr>
      <w:r>
        <w:rPr>
          <w:rFonts w:ascii="仿宋_GB2312" w:hAnsi="仿宋_GB2312" w:eastAsia="仿宋_GB2312" w:cs="仿宋_GB2312"/>
          <w:b w:val="0"/>
          <w:color w:val="auto"/>
          <w:sz w:val="32"/>
          <w:u w:val="none"/>
        </w:rPr>
        <w:t>4、免费开放项目绩效自评综述：根据年初设定的绩效目标，该项目绩效自评得分为86分。项目全年预算数为147.73万元，执行数为147.73万元，完成预算的100%。主要产出和效果：通过免费开放资金的补助，喀什地区博物馆完成了喀什地区博物馆展览提升项目，喀什地区博物馆文物库房、展厅安防项目。项目实施后游客逐渐增多。发现的问题及原因：资金使用进度慢。下一步改进措施： 加强资金使用率。</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207（类）02（款）04（项）指：文物保护。207（类）02（款）99（项）指：其他文物支出。221（类）02（款）01（项）指：住房公积金。207（类）02（款）05（项）指：博物馆。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bordersDoNotSurroundHeader w:val="1"/>
  <w:bordersDoNotSurroundFooter w:val="1"/>
  <w:documentProtection w:edit="comments" w:enforcement="1" w:cryptProviderType="rsaFull" w:cryptAlgorithmClass="hash" w:cryptAlgorithmType="typeAny" w:cryptAlgorithmSid="4" w:cryptSpinCount="0" w:hash="eYE+JwBmuttmwMnjeBvfKGHW6rg=" w:salt="76LQFrK9xnYVIdDBESorT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386822"/>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2A5164"/>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4F67A7"/>
    <w:rsid w:val="54AF4562"/>
    <w:rsid w:val="54C9674B"/>
    <w:rsid w:val="556318EA"/>
    <w:rsid w:val="55A60AA1"/>
    <w:rsid w:val="56451615"/>
    <w:rsid w:val="57FC5774"/>
    <w:rsid w:val="59B332C9"/>
    <w:rsid w:val="5A44758A"/>
    <w:rsid w:val="5B830BB7"/>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0</TotalTime>
  <ScaleCrop>false</ScaleCrop>
  <LinksUpToDate>false</LinksUpToDate>
  <CharactersWithSpaces>7694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2020-04-03T15:49:43Z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