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2018年度新疆维吾尔自治区喀什地区农村数字电影服务管理中心</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负责卫星地面接收站的管理工作。</w:t>
      </w:r>
      <w:r>
        <w:rPr>
          <w:rFonts w:ascii="仿宋_GB2312" w:eastAsia="仿宋_GB2312" w:hint="eastAsia"/>
          <w:sz w:val="32"/>
          <w:szCs w:val="32"/>
        </w:rPr>
        <w:br/>
        <w:t xml:space="preserve">    1、根据国家广电总局、自治区党委人民府的决定，在喀什地区试点农村数字电影放映工程，管理各县市农村放映工作。</w:t>
      </w:r>
      <w:r>
        <w:rPr>
          <w:rFonts w:ascii="仿宋_GB2312" w:eastAsia="仿宋_GB2312" w:hint="eastAsia"/>
          <w:sz w:val="32"/>
          <w:szCs w:val="32"/>
        </w:rPr>
        <w:br/>
        <w:t xml:space="preserve">    2、为各12县市下载授权放映农村数字电影。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新疆维吾尔自治区喀什地区农村数字电影</w:t>
      </w:r>
      <w:r>
        <w:rPr>
          <w:rFonts w:ascii="仿宋_GB2312" w:eastAsia="仿宋_GB2312"/>
          <w:sz w:val="32"/>
          <w:szCs w:val="32"/>
        </w:rPr>
        <w:lastRenderedPageBreak/>
        <w:t>服务管理中心</w:t>
      </w:r>
      <w:r>
        <w:rPr>
          <w:rFonts w:ascii="仿宋_GB2312" w:eastAsia="仿宋_GB2312" w:hint="eastAsia"/>
          <w:sz w:val="32"/>
          <w:szCs w:val="32"/>
        </w:rPr>
        <w:t>部门决算包括：</w:t>
      </w:r>
      <w:r>
        <w:rPr>
          <w:rFonts w:ascii="仿宋_GB2312" w:eastAsia="仿宋_GB2312"/>
          <w:sz w:val="32"/>
          <w:szCs w:val="32"/>
        </w:rPr>
        <w:t>新疆维吾尔自治区喀什地区农村数字电影服务管理中心</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新疆维吾尔自治区喀什地区农村数字电影服务管理中心</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506ADC">
        <w:tc>
          <w:tcPr>
            <w:tcW w:w="3056" w:type="dxa"/>
          </w:tcPr>
          <w:p w:rsidR="00506ADC" w:rsidRDefault="00752056">
            <w:pPr>
              <w:spacing w:line="500" w:lineRule="exact"/>
              <w:ind w:firstLineChars="200" w:firstLine="640"/>
              <w:jc w:val="left"/>
            </w:pPr>
            <w:r>
              <w:rPr>
                <w:rFonts w:ascii="仿宋_GB2312" w:eastAsia="仿宋_GB2312"/>
                <w:position w:val="-1"/>
                <w:sz w:val="32"/>
              </w:rPr>
              <w:t>1</w:t>
            </w:r>
          </w:p>
        </w:tc>
        <w:tc>
          <w:tcPr>
            <w:tcW w:w="3870" w:type="dxa"/>
          </w:tcPr>
          <w:p w:rsidR="00506ADC" w:rsidRDefault="00752056">
            <w:pPr>
              <w:spacing w:line="500" w:lineRule="exact"/>
              <w:ind w:firstLineChars="200" w:firstLine="640"/>
              <w:jc w:val="left"/>
            </w:pPr>
            <w:r>
              <w:rPr>
                <w:rFonts w:ascii="仿宋_GB2312" w:eastAsia="仿宋_GB2312"/>
                <w:position w:val="-1"/>
                <w:sz w:val="32"/>
              </w:rPr>
              <w:t>新疆维吾尔自治区喀什地区农村数字电影服务管理中心</w:t>
            </w:r>
          </w:p>
        </w:tc>
        <w:tc>
          <w:tcPr>
            <w:tcW w:w="2538" w:type="dxa"/>
            <w:vAlign w:val="center"/>
          </w:tcPr>
          <w:p w:rsidR="00506ADC" w:rsidRDefault="00506ADC" w:rsidP="00305FBD">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305FB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322.8</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，与上年相比，减少2.55万元，下降0.78%，减少的主要原因是：</w:t>
      </w:r>
      <w:r>
        <w:rPr>
          <w:rFonts w:ascii="仿宋_GB2312" w:eastAsia="仿宋_GB2312" w:hint="eastAsia"/>
          <w:color w:val="000000" w:themeColor="text1"/>
          <w:sz w:val="32"/>
          <w:szCs w:val="32"/>
        </w:rPr>
        <w:t>人员工资支出比上年减少；</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331.49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，与上年相比，增加4.83万元，增长1.48%，增加的主要原因是：</w:t>
      </w:r>
      <w:r>
        <w:rPr>
          <w:rFonts w:ascii="仿宋_GB2312" w:eastAsia="仿宋_GB2312" w:hint="eastAsia"/>
          <w:color w:val="000000" w:themeColor="text1"/>
          <w:sz w:val="32"/>
          <w:szCs w:val="32"/>
        </w:rPr>
        <w:t>人员工资支出比上年减少；</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，与上年相比，减少8.69万元，下降100%，减少的主要原因是：</w:t>
      </w:r>
      <w:r>
        <w:rPr>
          <w:rFonts w:ascii="仿宋_GB2312" w:eastAsia="仿宋_GB2312"/>
          <w:color w:val="000000" w:themeColor="text1"/>
          <w:sz w:val="32"/>
          <w:szCs w:val="32"/>
        </w:rPr>
        <w:t>2018年的绩效奖没拨付，到2019年发放时才拨，所以没结余。</w:t>
      </w:r>
      <w:bookmarkEnd w:id="8"/>
    </w:p>
    <w:p w:rsidR="00184AA3" w:rsidRDefault="00DB45E7" w:rsidP="00305FB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322.8</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322.8</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lastRenderedPageBreak/>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况：本年收入年初预算数349.72万元</w:t>
      </w:r>
      <w:r>
        <w:rPr>
          <w:rFonts w:ascii="仿宋_GB2312" w:eastAsia="仿宋_GB2312" w:hint="eastAsia"/>
          <w:sz w:val="32"/>
          <w:szCs w:val="32"/>
        </w:rPr>
        <w:t>，决算数322.8万元</w:t>
      </w:r>
      <w:r>
        <w:rPr>
          <w:rFonts w:ascii="仿宋_GB2312" w:eastAsia="仿宋_GB2312"/>
          <w:sz w:val="32"/>
          <w:szCs w:val="32"/>
        </w:rPr>
        <w:t>，预决算差异率-7.7%，差异主要原因是:预算人员工资比实际发放数大，实际支出时有人员工资停发未拨付。</w:t>
      </w:r>
      <w:bookmarkEnd w:id="15"/>
    </w:p>
    <w:p w:rsidR="00184AA3" w:rsidRDefault="00DB45E7" w:rsidP="00305FB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331.49</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225.35</w:t>
      </w:r>
      <w:r>
        <w:rPr>
          <w:rFonts w:ascii="仿宋_GB2312" w:eastAsia="仿宋_GB2312" w:hint="eastAsia"/>
          <w:color w:val="000000" w:themeColor="text1"/>
          <w:sz w:val="32"/>
          <w:szCs w:val="32"/>
        </w:rPr>
        <w:t>万元，占</w:t>
      </w:r>
      <w:r>
        <w:rPr>
          <w:rFonts w:ascii="仿宋_GB2312" w:eastAsia="仿宋_GB2312" w:hint="eastAsia"/>
          <w:sz w:val="32"/>
          <w:szCs w:val="32"/>
        </w:rPr>
        <w:t>67.98%</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106.13</w:t>
      </w:r>
      <w:r>
        <w:rPr>
          <w:rFonts w:ascii="仿宋_GB2312" w:eastAsia="仿宋_GB2312" w:hint="eastAsia"/>
          <w:color w:val="000000" w:themeColor="text1"/>
          <w:sz w:val="32"/>
          <w:szCs w:val="32"/>
        </w:rPr>
        <w:t>万元，占</w:t>
      </w:r>
      <w:r>
        <w:rPr>
          <w:rFonts w:ascii="仿宋_GB2312" w:eastAsia="仿宋_GB2312" w:hint="eastAsia"/>
          <w:sz w:val="32"/>
          <w:szCs w:val="32"/>
        </w:rPr>
        <w:t>32.02%</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与年初预算数相比情况：本年支出年初预算数358.41万元，</w:t>
      </w:r>
      <w:r>
        <w:rPr>
          <w:rFonts w:ascii="仿宋_GB2312" w:eastAsia="仿宋_GB2312" w:hint="eastAsia"/>
          <w:sz w:val="32"/>
          <w:szCs w:val="32"/>
        </w:rPr>
        <w:t>决算数331.49万元</w:t>
      </w:r>
      <w:r>
        <w:rPr>
          <w:rFonts w:ascii="仿宋_GB2312" w:eastAsia="仿宋_GB2312"/>
          <w:sz w:val="32"/>
          <w:szCs w:val="32"/>
        </w:rPr>
        <w:t>，预决算差异率-7.51%，差异主要原因是:预算人员工资比实际发放数大，实际支出时有人员工资停发未拨付。</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305FB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322.8</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，与上年相比，增加20.25万元，增长6.69%，增加的主要原因是：人员工资增资(增加艰边津贴、正常晋升、住房公积金、社保费等。</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331.49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，与上年相比，增加27.63万元，增长9.09%，增加的主要原因是：</w:t>
      </w:r>
      <w:r>
        <w:rPr>
          <w:rFonts w:ascii="仿宋_GB2312" w:eastAsia="仿宋_GB2312"/>
          <w:sz w:val="32"/>
          <w:szCs w:val="32"/>
        </w:rPr>
        <w:t>人员工资增资(增加艰边津贴、正常晋升、住房公积金、社保费等。</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225.35</w:t>
      </w:r>
      <w:r>
        <w:rPr>
          <w:rFonts w:ascii="仿宋_GB2312" w:eastAsia="仿宋_GB2312" w:hint="eastAsia"/>
          <w:color w:val="000000" w:themeColor="text1"/>
          <w:sz w:val="32"/>
          <w:szCs w:val="32"/>
        </w:rPr>
        <w:t>万元，项目支出</w:t>
      </w:r>
      <w:r>
        <w:rPr>
          <w:rFonts w:ascii="仿宋_GB2312" w:eastAsia="仿宋_GB2312" w:hint="eastAsia"/>
          <w:sz w:val="32"/>
          <w:szCs w:val="32"/>
        </w:rPr>
        <w:t>106.13</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，与上年相比，减少8.69万元，下降100%，减少的主要原因是：2018年的绩效奖没拨付，到2019年发放时才拨，所以没结余。</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lastRenderedPageBreak/>
        <w:t>与年初预算数相比情况：财政拨款收入年初预算数</w:t>
      </w:r>
      <w:r>
        <w:rPr>
          <w:rFonts w:ascii="仿宋_GB2312" w:eastAsia="仿宋_GB2312"/>
          <w:color w:val="000000" w:themeColor="text1"/>
          <w:sz w:val="32"/>
          <w:szCs w:val="32"/>
        </w:rPr>
        <w:t>349.72</w:t>
      </w:r>
      <w:r>
        <w:rPr>
          <w:rFonts w:ascii="仿宋_GB2312" w:eastAsia="仿宋_GB2312" w:hint="eastAsia"/>
          <w:color w:val="000000" w:themeColor="text1"/>
          <w:sz w:val="32"/>
          <w:szCs w:val="32"/>
        </w:rPr>
        <w:t>万元，决算数</w:t>
      </w:r>
      <w:r>
        <w:rPr>
          <w:rFonts w:ascii="仿宋_GB2312" w:eastAsia="仿宋_GB2312" w:hint="eastAsia"/>
          <w:sz w:val="32"/>
          <w:szCs w:val="32"/>
        </w:rPr>
        <w:t>322.8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，预决算差异率-7.7%，差异主要原因是:预算人员工资比实际发放数大，实际支出时有人员工资停发未拨付。</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358.41</w:t>
      </w:r>
      <w:r>
        <w:rPr>
          <w:rFonts w:ascii="仿宋_GB2312" w:eastAsia="仿宋_GB2312" w:hint="eastAsia"/>
          <w:color w:val="000000" w:themeColor="text1"/>
          <w:sz w:val="32"/>
          <w:szCs w:val="32"/>
        </w:rPr>
        <w:t>万元，决算数</w:t>
      </w:r>
      <w:r>
        <w:rPr>
          <w:rFonts w:ascii="仿宋_GB2312" w:eastAsia="仿宋_GB2312" w:hint="eastAsia"/>
          <w:sz w:val="32"/>
          <w:szCs w:val="32"/>
        </w:rPr>
        <w:t>331.49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，预决算差异率-7.51%，差异主要原因是:预算人员工资比实际发放数大，实际支出时有人员工资停发未拨付。</w:t>
      </w:r>
      <w:bookmarkEnd w:id="33"/>
    </w:p>
    <w:p w:rsidR="00184AA3" w:rsidRDefault="00DB45E7" w:rsidP="00305FB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322.8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，与上年相比，增加20.25万元，增长6.69%，增加的主要原因是：人员工资增资(增加艰边津贴、正常晋升、住房公积金、社保费等。</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331.49</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，与上年相比，增加27.63万元，增长9.09%，增加的主要原因是：人员工资增资(增加艰边津贴、正常晋升、住房公积金、社保费等。</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住房保障支出13.17万元,文化体育与传媒支出297.82万元,社会保障和就业支出20.5万元。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工资福利支出267.55万元,商品和服务支出51.03万元,对个人和家庭的补助12.91万元。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349.72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322.8</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，预决算差异率-7.7%，差异主要原因是:预算人员工资比实际发放数大，实际收入时有人员工资停发未拨付。</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358.41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331.49</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，预决算差异率-7.51%，差异主要原因是:预算人员工资比实际发放数大，实际支出时有人员工资停发未拨付。</w:t>
      </w:r>
      <w:bookmarkEnd w:id="43"/>
    </w:p>
    <w:p w:rsidR="00184AA3" w:rsidRDefault="00DB45E7" w:rsidP="00305FB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lastRenderedPageBreak/>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。与上年相比，减少8.69万元，下降100%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。与上年相比，减少8.69万元，下降100%。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2.6</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2.6</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100%，与上年相比，增加0万元，增长0%，主要原因是：</w:t>
      </w:r>
      <w:r w:rsidR="0054006F">
        <w:rPr>
          <w:rFonts w:ascii="仿宋_GB2312" w:eastAsia="仿宋_GB2312" w:hint="eastAsia"/>
          <w:sz w:val="32"/>
          <w:szCs w:val="32"/>
        </w:rPr>
        <w:t>无变化；</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lastRenderedPageBreak/>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新疆维吾尔自治区喀什地区农村数字电影服务管理中心</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2.6</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2.6</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汽车油料、维护费、过路费</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2</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新疆维吾尔自治区喀什地区农村数字电影服务管理中心</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万元，决算数2.6万元</w:t>
      </w:r>
      <w:r>
        <w:rPr>
          <w:rFonts w:ascii="仿宋_GB2312" w:eastAsia="仿宋_GB2312"/>
          <w:color w:val="000000" w:themeColor="text1"/>
          <w:sz w:val="32"/>
          <w:szCs w:val="32"/>
        </w:rPr>
        <w:t>，预决算差异率0%，差异主要原因是:预算数和实际数无差异，指标用完。</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，预决算差异率0%，差异主要原因是:无变化；</w:t>
      </w:r>
      <w:bookmarkStart w:id="85"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，预决算差异率0%，差异主要原因是:预算数和实际数无差异，指标用完；</w:t>
      </w:r>
      <w:bookmarkStart w:id="86" w:name="OLE_LINK91"/>
      <w:bookmarkEnd w:id="85"/>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无变化。</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新疆维吾尔自治区喀什地区农村数字电影服务管理中心日常公用经费8.02万元，与上年相比，减少5.04万元，下降38.59%，减少的主要原因是：</w:t>
      </w:r>
      <w:r w:rsidR="00FE48DB">
        <w:rPr>
          <w:rFonts w:ascii="仿宋_GB2312" w:eastAsia="仿宋_GB2312" w:hint="eastAsia"/>
          <w:color w:val="000000" w:themeColor="text1"/>
          <w:sz w:val="32"/>
          <w:szCs w:val="32"/>
        </w:rPr>
        <w:t>尽量节流、压缩开支。</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lastRenderedPageBreak/>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7" w:name="OLE_LINK45"/>
      <w:r>
        <w:rPr>
          <w:rFonts w:ascii="仿宋_GB2312" w:eastAsia="仿宋_GB2312" w:hint="eastAsia"/>
          <w:color w:val="000000" w:themeColor="text1"/>
          <w:sz w:val="32"/>
          <w:szCs w:val="32"/>
        </w:rPr>
        <w:t>政府采购支出总额</w:t>
      </w:r>
      <w:bookmarkEnd w:id="87"/>
      <w:r>
        <w:rPr>
          <w:rFonts w:ascii="仿宋_GB2312" w:eastAsia="仿宋_GB2312" w:hint="eastAsia"/>
          <w:sz w:val="32"/>
          <w:szCs w:val="32"/>
        </w:rPr>
        <w:t>1.8</w:t>
      </w:r>
      <w:r>
        <w:rPr>
          <w:rFonts w:ascii="仿宋_GB2312" w:eastAsia="仿宋_GB2312" w:hint="eastAsia"/>
          <w:color w:val="000000" w:themeColor="text1"/>
          <w:sz w:val="32"/>
          <w:szCs w:val="32"/>
        </w:rPr>
        <w:t>万元，其中：</w:t>
      </w:r>
      <w:bookmarkStart w:id="88" w:name="OLE_LINK46"/>
      <w:r>
        <w:rPr>
          <w:rFonts w:ascii="仿宋_GB2312" w:eastAsia="仿宋_GB2312" w:hint="eastAsia"/>
          <w:color w:val="000000" w:themeColor="text1"/>
          <w:sz w:val="32"/>
          <w:szCs w:val="32"/>
        </w:rPr>
        <w:t>政府采购货物支出</w:t>
      </w:r>
      <w:bookmarkEnd w:id="88"/>
      <w:r>
        <w:rPr>
          <w:rFonts w:ascii="仿宋_GB2312" w:eastAsia="仿宋_GB2312" w:hint="eastAsia"/>
          <w:sz w:val="32"/>
          <w:szCs w:val="32"/>
        </w:rPr>
        <w:t>1.12</w:t>
      </w:r>
      <w:r>
        <w:rPr>
          <w:rFonts w:ascii="仿宋_GB2312" w:eastAsia="仿宋_GB2312" w:hint="eastAsia"/>
          <w:color w:val="000000" w:themeColor="text1"/>
          <w:sz w:val="32"/>
          <w:szCs w:val="32"/>
        </w:rPr>
        <w:t>万元、</w:t>
      </w:r>
      <w:bookmarkStart w:id="89" w:name="OLE_LINK47"/>
      <w:r>
        <w:rPr>
          <w:rFonts w:ascii="仿宋_GB2312" w:eastAsia="仿宋_GB2312" w:hint="eastAsia"/>
          <w:color w:val="000000" w:themeColor="text1"/>
          <w:sz w:val="32"/>
          <w:szCs w:val="32"/>
        </w:rPr>
        <w:t>政府采购工程支出</w:t>
      </w:r>
      <w:bookmarkEnd w:id="89"/>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0" w:name="OLE_LINK48"/>
      <w:r>
        <w:rPr>
          <w:rFonts w:ascii="仿宋_GB2312" w:eastAsia="仿宋_GB2312" w:hint="eastAsia"/>
          <w:color w:val="000000" w:themeColor="text1"/>
          <w:sz w:val="32"/>
          <w:szCs w:val="32"/>
        </w:rPr>
        <w:t>政府采购服务支出</w:t>
      </w:r>
      <w:bookmarkEnd w:id="90"/>
      <w:r>
        <w:rPr>
          <w:rFonts w:ascii="仿宋_GB2312" w:eastAsia="仿宋_GB2312" w:hint="eastAsia"/>
          <w:sz w:val="32"/>
          <w:szCs w:val="32"/>
        </w:rPr>
        <w:t>0.68</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305FBD">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1"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2</w:t>
      </w:r>
      <w:r>
        <w:rPr>
          <w:rFonts w:ascii="仿宋_GB2312" w:eastAsia="仿宋_GB2312" w:hint="eastAsia"/>
          <w:color w:val="000000" w:themeColor="text1"/>
          <w:sz w:val="32"/>
          <w:szCs w:val="32"/>
        </w:rPr>
        <w:t>辆，价值</w:t>
      </w:r>
      <w:r>
        <w:rPr>
          <w:rFonts w:ascii="仿宋_GB2312" w:eastAsia="仿宋_GB2312" w:hint="eastAsia"/>
          <w:sz w:val="32"/>
          <w:szCs w:val="32"/>
        </w:rPr>
        <w:t>38.83</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2</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办公用车；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1"/>
    </w:p>
    <w:p w:rsidR="00184AA3" w:rsidRDefault="00DB45E7" w:rsidP="00305FBD">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绩效管理良好，绩效完成度95%以上。</w:t>
      </w:r>
    </w:p>
    <w:p w:rsidR="00506ADC" w:rsidRDefault="00752056">
      <w:pPr>
        <w:spacing w:line="540" w:lineRule="exact"/>
        <w:ind w:left="-1" w:right="-1" w:firstLine="646"/>
        <w:jc w:val="left"/>
      </w:pPr>
      <w:r>
        <w:rPr>
          <w:rFonts w:ascii="仿宋_GB2312" w:eastAsia="仿宋_GB2312" w:hAnsi="仿宋_GB2312" w:cs="仿宋_GB2312"/>
          <w:sz w:val="32"/>
        </w:rPr>
        <w:t>1</w:t>
      </w:r>
      <w:r>
        <w:rPr>
          <w:rFonts w:ascii="仿宋_GB2312" w:eastAsia="仿宋_GB2312" w:hAnsi="仿宋_GB2312" w:cs="仿宋_GB2312"/>
          <w:sz w:val="32"/>
        </w:rPr>
        <w:t>、餐费补助项目</w:t>
      </w:r>
      <w:r>
        <w:rPr>
          <w:rFonts w:ascii="仿宋_GB2312" w:eastAsia="仿宋_GB2312" w:hAnsi="仿宋_GB2312" w:cs="仿宋_GB2312"/>
          <w:sz w:val="32"/>
        </w:rPr>
        <w:t>绩效自评综述：根据年初设定的绩效目标，该项目绩效自评得分为</w:t>
      </w:r>
      <w:r w:rsidR="00305FBD">
        <w:rPr>
          <w:rFonts w:ascii="仿宋_GB2312" w:eastAsia="仿宋_GB2312" w:hAnsi="仿宋_GB2312" w:cs="仿宋_GB2312" w:hint="eastAsia"/>
          <w:sz w:val="32"/>
        </w:rPr>
        <w:t>87</w:t>
      </w:r>
      <w:r>
        <w:rPr>
          <w:rFonts w:ascii="仿宋_GB2312" w:eastAsia="仿宋_GB2312" w:hAnsi="仿宋_GB2312" w:cs="仿宋_GB2312"/>
          <w:sz w:val="32"/>
        </w:rPr>
        <w:t>分。项目全年预算数为</w:t>
      </w:r>
      <w:r>
        <w:rPr>
          <w:rFonts w:ascii="仿宋_GB2312" w:eastAsia="仿宋_GB2312" w:hAnsi="仿宋_GB2312" w:cs="仿宋_GB2312"/>
          <w:sz w:val="32"/>
        </w:rPr>
        <w:t>0.59</w:t>
      </w:r>
      <w:r>
        <w:rPr>
          <w:rFonts w:ascii="仿宋_GB2312" w:eastAsia="仿宋_GB2312" w:hAnsi="仿宋_GB2312" w:cs="仿宋_GB2312"/>
          <w:sz w:val="32"/>
        </w:rPr>
        <w:t>万元，执行数为</w:t>
      </w:r>
      <w:r>
        <w:rPr>
          <w:rFonts w:ascii="仿宋_GB2312" w:eastAsia="仿宋_GB2312" w:hAnsi="仿宋_GB2312" w:cs="仿宋_GB2312"/>
          <w:sz w:val="32"/>
        </w:rPr>
        <w:t>0.59</w:t>
      </w:r>
      <w:r>
        <w:rPr>
          <w:rFonts w:ascii="仿宋_GB2312" w:eastAsia="仿宋_GB2312" w:hAnsi="仿宋_GB2312" w:cs="仿宋_GB2312"/>
          <w:sz w:val="32"/>
        </w:rPr>
        <w:t>万元，完成预算的</w:t>
      </w:r>
      <w:r>
        <w:rPr>
          <w:rFonts w:ascii="仿宋_GB2312" w:eastAsia="仿宋_GB2312" w:hAnsi="仿宋_GB2312" w:cs="仿宋_GB2312"/>
          <w:sz w:val="32"/>
        </w:rPr>
        <w:t>100%</w:t>
      </w:r>
      <w:r>
        <w:rPr>
          <w:rFonts w:ascii="仿宋_GB2312" w:eastAsia="仿宋_GB2312" w:hAnsi="仿宋_GB2312" w:cs="仿宋_GB2312"/>
          <w:sz w:val="32"/>
        </w:rPr>
        <w:t>。主要产出和效果：大家统一就餐。发现的问题及原因：不存在问题。下一步改进措施：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放在基本公用支出即可。</w:t>
      </w:r>
    </w:p>
    <w:p w:rsidR="00506ADC" w:rsidRDefault="00752056">
      <w:pPr>
        <w:spacing w:line="540" w:lineRule="exact"/>
        <w:ind w:left="-1" w:right="-1" w:firstLine="646"/>
        <w:jc w:val="left"/>
      </w:pPr>
      <w:r>
        <w:rPr>
          <w:rFonts w:ascii="仿宋_GB2312" w:eastAsia="仿宋_GB2312" w:hAnsi="仿宋_GB2312" w:cs="仿宋_GB2312"/>
          <w:sz w:val="32"/>
        </w:rPr>
        <w:t>2</w:t>
      </w:r>
      <w:r>
        <w:rPr>
          <w:rFonts w:ascii="仿宋_GB2312" w:eastAsia="仿宋_GB2312" w:hAnsi="仿宋_GB2312" w:cs="仿宋_GB2312"/>
          <w:sz w:val="32"/>
        </w:rPr>
        <w:t>、节目费项目绩效自评综述：根据年初设定的绩效目标，该项目绩效自评得分为</w:t>
      </w:r>
      <w:r>
        <w:rPr>
          <w:rFonts w:ascii="仿宋_GB2312" w:eastAsia="仿宋_GB2312" w:hAnsi="仿宋_GB2312" w:cs="仿宋_GB2312"/>
          <w:sz w:val="32"/>
        </w:rPr>
        <w:t>89</w:t>
      </w:r>
      <w:r>
        <w:rPr>
          <w:rFonts w:ascii="仿宋_GB2312" w:eastAsia="仿宋_GB2312" w:hAnsi="仿宋_GB2312" w:cs="仿宋_GB2312"/>
          <w:sz w:val="32"/>
        </w:rPr>
        <w:t>分。项目全年预算数为</w:t>
      </w:r>
      <w:r>
        <w:rPr>
          <w:rFonts w:ascii="仿宋_GB2312" w:eastAsia="仿宋_GB2312" w:hAnsi="仿宋_GB2312" w:cs="仿宋_GB2312"/>
          <w:sz w:val="32"/>
        </w:rPr>
        <w:t>47.8</w:t>
      </w:r>
      <w:r>
        <w:rPr>
          <w:rFonts w:ascii="仿宋_GB2312" w:eastAsia="仿宋_GB2312" w:hAnsi="仿宋_GB2312" w:cs="仿宋_GB2312"/>
          <w:sz w:val="32"/>
        </w:rPr>
        <w:t>万元，执行数为</w:t>
      </w:r>
      <w:r>
        <w:rPr>
          <w:rFonts w:ascii="仿宋_GB2312" w:eastAsia="仿宋_GB2312" w:hAnsi="仿宋_GB2312" w:cs="仿宋_GB2312"/>
          <w:sz w:val="32"/>
        </w:rPr>
        <w:t>42.42</w:t>
      </w:r>
      <w:r>
        <w:rPr>
          <w:rFonts w:ascii="仿宋_GB2312" w:eastAsia="仿宋_GB2312" w:hAnsi="仿宋_GB2312" w:cs="仿宋_GB2312"/>
          <w:sz w:val="32"/>
        </w:rPr>
        <w:t>万元，完成预算的</w:t>
      </w:r>
      <w:r>
        <w:rPr>
          <w:rFonts w:ascii="仿宋_GB2312" w:eastAsia="仿宋_GB2312" w:hAnsi="仿宋_GB2312" w:cs="仿宋_GB2312"/>
          <w:sz w:val="32"/>
        </w:rPr>
        <w:t>88.74%</w:t>
      </w:r>
      <w:r>
        <w:rPr>
          <w:rFonts w:ascii="仿宋_GB2312" w:eastAsia="仿宋_GB2312" w:hAnsi="仿宋_GB2312" w:cs="仿宋_GB2312"/>
          <w:sz w:val="32"/>
        </w:rPr>
        <w:t>。主要产出和效果：基本完成电影</w:t>
      </w:r>
      <w:r>
        <w:rPr>
          <w:rFonts w:ascii="仿宋_GB2312" w:eastAsia="仿宋_GB2312" w:hAnsi="仿宋_GB2312" w:cs="仿宋_GB2312"/>
          <w:sz w:val="32"/>
        </w:rPr>
        <w:lastRenderedPageBreak/>
        <w:t>播放覆盖率</w:t>
      </w:r>
      <w:r>
        <w:rPr>
          <w:rFonts w:ascii="仿宋_GB2312" w:eastAsia="仿宋_GB2312" w:hAnsi="仿宋_GB2312" w:cs="仿宋_GB2312"/>
          <w:sz w:val="32"/>
        </w:rPr>
        <w:t>89%</w:t>
      </w:r>
      <w:r>
        <w:rPr>
          <w:rFonts w:ascii="仿宋_GB2312" w:eastAsia="仿宋_GB2312" w:hAnsi="仿宋_GB2312" w:cs="仿宋_GB2312"/>
          <w:sz w:val="32"/>
        </w:rPr>
        <w:t>。发现的问题及原因：项目资金拨付滞后，影响完成播放进度。下一步改进措</w:t>
      </w:r>
      <w:r>
        <w:rPr>
          <w:rFonts w:ascii="仿宋_GB2312" w:eastAsia="仿宋_GB2312" w:hAnsi="仿宋_GB2312" w:cs="仿宋_GB2312"/>
          <w:sz w:val="32"/>
        </w:rPr>
        <w:t>施：</w:t>
      </w:r>
      <w:r>
        <w:rPr>
          <w:rFonts w:ascii="仿宋_GB2312" w:eastAsia="仿宋_GB2312" w:hAnsi="仿宋_GB2312" w:cs="仿宋_GB2312"/>
          <w:sz w:val="32"/>
        </w:rPr>
        <w:t xml:space="preserve"> </w:t>
      </w:r>
      <w:r>
        <w:rPr>
          <w:rFonts w:ascii="仿宋_GB2312" w:eastAsia="仿宋_GB2312" w:hAnsi="仿宋_GB2312" w:cs="仿宋_GB2312"/>
          <w:sz w:val="32"/>
        </w:rPr>
        <w:t>尽量早下节目费项目经费。</w:t>
      </w:r>
    </w:p>
    <w:p w:rsidR="00506ADC" w:rsidRDefault="00752056">
      <w:pPr>
        <w:spacing w:line="540" w:lineRule="exact"/>
        <w:ind w:left="-1" w:right="-1" w:firstLine="646"/>
        <w:jc w:val="left"/>
      </w:pPr>
      <w:r>
        <w:rPr>
          <w:rFonts w:ascii="仿宋_GB2312" w:eastAsia="仿宋_GB2312" w:hAnsi="仿宋_GB2312" w:cs="仿宋_GB2312"/>
          <w:sz w:val="32"/>
        </w:rPr>
        <w:t>3</w:t>
      </w:r>
      <w:r>
        <w:rPr>
          <w:rFonts w:ascii="仿宋_GB2312" w:eastAsia="仿宋_GB2312" w:hAnsi="仿宋_GB2312" w:cs="仿宋_GB2312"/>
          <w:sz w:val="32"/>
        </w:rPr>
        <w:t>、自收自支人员工资经费项目绩效自评综述：根据年初设定的绩效目标，该项目绩效自评得分为</w:t>
      </w:r>
      <w:r>
        <w:rPr>
          <w:rFonts w:ascii="仿宋_GB2312" w:eastAsia="仿宋_GB2312" w:hAnsi="仿宋_GB2312" w:cs="仿宋_GB2312"/>
          <w:sz w:val="32"/>
        </w:rPr>
        <w:t>8</w:t>
      </w:r>
      <w:r w:rsidR="00305FBD">
        <w:rPr>
          <w:rFonts w:ascii="仿宋_GB2312" w:eastAsia="仿宋_GB2312" w:hAnsi="仿宋_GB2312" w:cs="仿宋_GB2312" w:hint="eastAsia"/>
          <w:sz w:val="32"/>
        </w:rPr>
        <w:t>9</w:t>
      </w:r>
      <w:bookmarkStart w:id="92" w:name="_GoBack"/>
      <w:bookmarkEnd w:id="92"/>
      <w:r>
        <w:rPr>
          <w:rFonts w:ascii="仿宋_GB2312" w:eastAsia="仿宋_GB2312" w:hAnsi="仿宋_GB2312" w:cs="仿宋_GB2312"/>
          <w:sz w:val="32"/>
        </w:rPr>
        <w:t>分。项目全年预算数为</w:t>
      </w:r>
      <w:r>
        <w:rPr>
          <w:rFonts w:ascii="仿宋_GB2312" w:eastAsia="仿宋_GB2312" w:hAnsi="仿宋_GB2312" w:cs="仿宋_GB2312"/>
          <w:sz w:val="32"/>
        </w:rPr>
        <w:t>78.13</w:t>
      </w:r>
      <w:r>
        <w:rPr>
          <w:rFonts w:ascii="仿宋_GB2312" w:eastAsia="仿宋_GB2312" w:hAnsi="仿宋_GB2312" w:cs="仿宋_GB2312"/>
          <w:sz w:val="32"/>
        </w:rPr>
        <w:t>万元，执行数为</w:t>
      </w:r>
      <w:r>
        <w:rPr>
          <w:rFonts w:ascii="仿宋_GB2312" w:eastAsia="仿宋_GB2312" w:hAnsi="仿宋_GB2312" w:cs="仿宋_GB2312"/>
          <w:sz w:val="32"/>
        </w:rPr>
        <w:t>63.13</w:t>
      </w:r>
      <w:r>
        <w:rPr>
          <w:rFonts w:ascii="仿宋_GB2312" w:eastAsia="仿宋_GB2312" w:hAnsi="仿宋_GB2312" w:cs="仿宋_GB2312"/>
          <w:sz w:val="32"/>
        </w:rPr>
        <w:t>万元，完成预算的</w:t>
      </w:r>
      <w:r>
        <w:rPr>
          <w:rFonts w:ascii="仿宋_GB2312" w:eastAsia="仿宋_GB2312" w:hAnsi="仿宋_GB2312" w:cs="仿宋_GB2312"/>
          <w:sz w:val="32"/>
        </w:rPr>
        <w:t>80.8%</w:t>
      </w:r>
      <w:r>
        <w:rPr>
          <w:rFonts w:ascii="仿宋_GB2312" w:eastAsia="仿宋_GB2312" w:hAnsi="仿宋_GB2312" w:cs="仿宋_GB2312"/>
          <w:sz w:val="32"/>
        </w:rPr>
        <w:t>。主要产出和效果：自收自支人员满意度（</w:t>
      </w:r>
      <w:r>
        <w:rPr>
          <w:rFonts w:ascii="仿宋_GB2312" w:eastAsia="仿宋_GB2312" w:hAnsi="仿宋_GB2312" w:cs="仿宋_GB2312"/>
          <w:sz w:val="32"/>
        </w:rPr>
        <w:t>95%</w:t>
      </w:r>
      <w:r>
        <w:rPr>
          <w:rFonts w:ascii="仿宋_GB2312" w:eastAsia="仿宋_GB2312" w:hAnsi="仿宋_GB2312" w:cs="仿宋_GB2312"/>
          <w:sz w:val="32"/>
        </w:rPr>
        <w:t>），每月工资及时到账，非常安心。发现的问题及原因：预算数和执行数有较大的差异，当年的绩效工资当年发没发放。下一步改进措施：</w:t>
      </w:r>
      <w:r>
        <w:rPr>
          <w:rFonts w:ascii="仿宋_GB2312" w:eastAsia="仿宋_GB2312" w:hAnsi="仿宋_GB2312" w:cs="仿宋_GB2312"/>
          <w:sz w:val="32"/>
        </w:rPr>
        <w:t xml:space="preserve"> </w:t>
      </w:r>
      <w:r>
        <w:rPr>
          <w:rFonts w:ascii="仿宋_GB2312" w:eastAsia="仿宋_GB2312" w:hAnsi="仿宋_GB2312" w:cs="仿宋_GB2312"/>
          <w:sz w:val="32"/>
        </w:rPr>
        <w:t>最好当年预算当年的绩效工资当年发放，这样预算数和执行数几乎相当。</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w:t>
      </w:r>
      <w:r>
        <w:rPr>
          <w:rFonts w:ascii="仿宋_GB2312" w:eastAsia="仿宋_GB2312" w:hint="eastAsia"/>
          <w:sz w:val="32"/>
          <w:szCs w:val="32"/>
        </w:rPr>
        <w:lastRenderedPageBreak/>
        <w:t>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w:t>
      </w:r>
      <w:r>
        <w:rPr>
          <w:rFonts w:ascii="仿宋_GB2312" w:eastAsia="仿宋_GB2312" w:hint="eastAsia"/>
          <w:sz w:val="32"/>
          <w:szCs w:val="32"/>
        </w:rPr>
        <w:lastRenderedPageBreak/>
        <w:t>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221（类）02（款）01（项）指：住房公积金。207（类）04（款）06（项）指：电影。208（类）05（款）05（项）指：机关事业单位基本养老保险缴费支出。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305FBD">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056" w:rsidRDefault="00752056" w:rsidP="00184AA3">
      <w:r>
        <w:separator/>
      </w:r>
    </w:p>
  </w:endnote>
  <w:endnote w:type="continuationSeparator" w:id="0">
    <w:p w:rsidR="00752056" w:rsidRDefault="00752056"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0000000000000000000"/>
    <w:charset w:val="86"/>
    <w:family w:val="script"/>
    <w:notTrueType/>
    <w:pitch w:val="default"/>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C41B8">
      <w:rPr>
        <w:rStyle w:val="a8"/>
        <w:rFonts w:ascii="宋体" w:eastAsia="宋体" w:hAnsi="宋体"/>
        <w:noProof/>
        <w:sz w:val="28"/>
      </w:rPr>
      <w:t>- 9 -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056" w:rsidRDefault="00752056" w:rsidP="00184AA3">
      <w:r>
        <w:separator/>
      </w:r>
    </w:p>
  </w:footnote>
  <w:footnote w:type="continuationSeparator" w:id="0">
    <w:p w:rsidR="00752056" w:rsidRDefault="00752056"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ocumentProtection w:edit="comments" w:enforcement="1" w:cryptProviderType="rsaFull" w:cryptAlgorithmClass="hash" w:cryptAlgorithmType="typeAny" w:cryptAlgorithmSid="4" w:cryptSpinCount="100000" w:hash="qx7trDxRvDcFZk8XEIZflUIXxUs=" w:salt="nptvQQpDkA3NklsQ8YJXh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5FBD"/>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6ADC"/>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056"/>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41B8"/>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12</Pages>
  <Words>858</Words>
  <Characters>4891</Characters>
  <Application>Microsoft Office Word</Application>
  <DocSecurity>8</DocSecurity>
  <Lines>40</Lines>
  <Paragraphs>11</Paragraphs>
  <ScaleCrop>false</ScaleCrop>
  <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817</cp:revision>
  <dcterms:created xsi:type="dcterms:W3CDTF">2019-05-30T09:42:00Z</dcterms:created>
  <dcterms:modified xsi:type="dcterms:W3CDTF">2021-07-11T11:29:00Z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