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地震台站运行项目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地区地震局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管理本地区地方地震监测台网和地震预报工作。负责提出本地区地震趋势预报意见，负责震情速报和地震灾情速报。组织大震现场科学考察;承担本地区防震减灾工作领导小组办公室工作，发生破坏性地震时，承担本地政府抗震救灾指挥机关办事机构的职责。承担我区地震监测台网运维工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喀什地区地震局设4个内设机构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办公室、监测科、震防科、应急救援科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核定编制及实际人数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1.核定编制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核定事业编制13名，其中局领导职数3名，科级领导职数4名，正科级虚职1名、副科级虚职1名，工勤（驾驶员）1名。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2.实有人数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现在岗人数12名。实有县处级4名，正科级干部2名、正科级虚职1名，享受副科级工资待遇1名（研究生），科员4名，工勤（驾驶员）1名。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7" w:firstLineChars="181"/>
        <w:rPr>
          <w:rStyle w:val="1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Cs w:val="0"/>
          <w:spacing w:val="-4"/>
          <w:sz w:val="32"/>
          <w:szCs w:val="32"/>
        </w:rPr>
        <w:t>1.预期目标及阶段性目标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3.6万元保障我区27个强震台和9个遥测台</w:t>
      </w:r>
      <w:bookmarkStart w:id="0" w:name="_GoBack"/>
      <w:bookmarkEnd w:id="0"/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的的正常运行，及时记录我区地震信息，在发生破坏性地震是，为科学评估灾害提供依据。</w:t>
      </w:r>
    </w:p>
    <w:p>
      <w:pPr>
        <w:bidi w:val="0"/>
        <w:ind w:firstLine="627" w:firstLineChars="200"/>
        <w:rPr>
          <w:rStyle w:val="1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Cs w:val="0"/>
          <w:spacing w:val="-4"/>
          <w:sz w:val="32"/>
          <w:szCs w:val="32"/>
        </w:rPr>
        <w:t>2.项目基本性质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延续性项目</w:t>
      </w:r>
    </w:p>
    <w:p>
      <w:pPr>
        <w:spacing w:line="540" w:lineRule="exact"/>
        <w:ind w:firstLine="567" w:firstLineChars="181"/>
        <w:rPr>
          <w:rStyle w:val="1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Cs w:val="0"/>
          <w:spacing w:val="-4"/>
          <w:sz w:val="32"/>
          <w:szCs w:val="32"/>
        </w:rPr>
        <w:t>3.用途和主要内容涉及范围</w:t>
      </w:r>
    </w:p>
    <w:p>
      <w:pPr>
        <w:spacing w:line="540" w:lineRule="exact"/>
        <w:ind w:firstLine="624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项目资金用于台站人员支付运维人员差旅费、车辆油料及维护费、台站耗材等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本项目预算安排资金3.6万元，其中财政资金3.6万元，其他资金0万元，2018年实际收到财政资金3.6万元，资金到位率为100%。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758" w:firstLineChars="243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本项目实际支出资金3.6万元，预算执行率为100%，支出情况如下：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支付差旅费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0.6万元、运行维护用油1.5万元、耗材购置费用1.5万元。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根据喀什地区地震局监测台站运维制度，报请局领导批准后实施。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项目由我单位干部职工和喀什地震台职工共同负责落实，运行率由自治区地震局负责监督。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本项目不存在招投标情况；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本项目不存在调整情况；</w:t>
      </w:r>
    </w:p>
    <w:p>
      <w:pPr>
        <w:spacing w:line="540" w:lineRule="exact"/>
        <w:ind w:firstLine="624" w:firstLineChars="200"/>
        <w:rPr>
          <w:rStyle w:val="1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本项目不存在检查验收情况。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由自治区地震局每半个月对所有台站进行一次标定，对无法联通、无标定的台站形成反馈给我局和喀什地震台，领导安排相关人员进行维修。对产生的相关费用报局领导批准后核销。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24" w:firstLineChars="200"/>
        <w:rPr>
          <w:rStyle w:val="1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本项目共设置一级指标3个，二级指标9个，三级指标14个，实际完成三级指标14个，指标完成率为100%。</w:t>
      </w:r>
    </w:p>
    <w:p>
      <w:pPr>
        <w:spacing w:line="540" w:lineRule="exact"/>
        <w:ind w:firstLine="624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项目实际支出后与申报目标对比，在不出现大范围的仪器故障、设备故障、人为干扰和恶劣天气长时间的影响下，能满足项目需求。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2018年较好的完成了项目实施，保障了我区地震监测台网的正常运行。</w:t>
      </w:r>
    </w:p>
    <w:p>
      <w:pPr>
        <w:spacing w:line="540" w:lineRule="exact"/>
        <w:ind w:firstLine="758" w:firstLineChars="242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55" w:firstLineChars="242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继续做好地震监测台网的运维工作，确保地震监测台网正常运行。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能证明台站正常运行的佐证材料</w:t>
      </w:r>
      <w:r>
        <w:rPr>
          <w:rFonts w:hint="eastAsia" w:ascii="仿宋_GB2312" w:eastAsia="仿宋_GB2312"/>
          <w:spacing w:val="-4"/>
          <w:sz w:val="32"/>
          <w:szCs w:val="32"/>
        </w:rPr>
        <w:t>包括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自治区地震局定期标定的数据、前往台站进行维护的工作照片和自治区地震局对我局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2018业务工作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的考核结果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5162F1"/>
    <w:rsid w:val="00535153"/>
    <w:rsid w:val="00855E3A"/>
    <w:rsid w:val="00922CB9"/>
    <w:rsid w:val="00A26421"/>
    <w:rsid w:val="00A4293B"/>
    <w:rsid w:val="00B41F61"/>
    <w:rsid w:val="00C56C72"/>
    <w:rsid w:val="00CA6457"/>
    <w:rsid w:val="00D17F2E"/>
    <w:rsid w:val="00E769FE"/>
    <w:rsid w:val="00EA2CBE"/>
    <w:rsid w:val="00F32FEE"/>
    <w:rsid w:val="010C3228"/>
    <w:rsid w:val="05F63DF0"/>
    <w:rsid w:val="17700808"/>
    <w:rsid w:val="1FF6013E"/>
    <w:rsid w:val="22961338"/>
    <w:rsid w:val="2413682E"/>
    <w:rsid w:val="28DF6A68"/>
    <w:rsid w:val="2AE50F71"/>
    <w:rsid w:val="42D6523F"/>
    <w:rsid w:val="4FBD5887"/>
    <w:rsid w:val="607973A6"/>
    <w:rsid w:val="64D1171D"/>
    <w:rsid w:val="66A23B42"/>
    <w:rsid w:val="6DE26EB3"/>
    <w:rsid w:val="7D9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7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0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575</Characters>
  <Lines>4</Lines>
  <Paragraphs>1</Paragraphs>
  <TotalTime>1</TotalTime>
  <ScaleCrop>false</ScaleCrop>
  <LinksUpToDate>false</LinksUpToDate>
  <CharactersWithSpaces>674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Reality</cp:lastModifiedBy>
  <cp:lastPrinted>2018-12-13T11:05:00Z</cp:lastPrinted>
  <dcterms:modified xsi:type="dcterms:W3CDTF">2019-08-21T11:55:20Z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