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w:t>
      </w:r>
      <w:r>
        <w:rPr>
          <w:rFonts w:hint="eastAsia" w:hAnsi="宋体" w:eastAsia="仿宋_GB2312" w:cs="宋体"/>
          <w:kern w:val="0"/>
          <w:sz w:val="36"/>
          <w:szCs w:val="36"/>
          <w:lang w:val="en-US" w:eastAsia="zh-CN"/>
        </w:rPr>
        <w:t>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项目名称：动物宏观测报点项目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实施单位（公章）：地区地震局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项目负责人（签章）：胥刚</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w:t>
      </w:r>
      <w:r>
        <w:rPr>
          <w:rFonts w:hint="eastAsia" w:hAnsi="宋体" w:eastAsia="仿宋_GB2312" w:cs="宋体"/>
          <w:kern w:val="0"/>
          <w:sz w:val="36"/>
          <w:szCs w:val="36"/>
          <w:lang w:val="en-US" w:eastAsia="zh-CN"/>
        </w:rPr>
        <w:t>9</w:t>
      </w:r>
      <w:r>
        <w:rPr>
          <w:rFonts w:hint="eastAsia" w:hAnsi="宋体" w:eastAsia="仿宋_GB2312" w:cs="宋体"/>
          <w:kern w:val="0"/>
          <w:sz w:val="36"/>
          <w:szCs w:val="36"/>
        </w:rPr>
        <w:t xml:space="preserve">年 </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 xml:space="preserve">月 </w:t>
      </w:r>
      <w:r>
        <w:rPr>
          <w:rFonts w:hint="eastAsia" w:hAnsi="宋体" w:eastAsia="仿宋_GB2312" w:cs="宋体"/>
          <w:kern w:val="0"/>
          <w:sz w:val="36"/>
          <w:szCs w:val="36"/>
          <w:lang w:val="en-US" w:eastAsia="zh-CN"/>
        </w:rPr>
        <w:t>10</w:t>
      </w:r>
      <w:r>
        <w:rPr>
          <w:rFonts w:hint="eastAsia" w:hAnsi="宋体" w:eastAsia="仿宋_GB2312" w:cs="宋体"/>
          <w:kern w:val="0"/>
          <w:sz w:val="36"/>
          <w:szCs w:val="36"/>
        </w:rPr>
        <w:t xml:space="preserve"> 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hint="eastAsia" w:ascii="黑体" w:hAnsi="黑体" w:eastAsia="黑体"/>
          <w:b w:val="0"/>
          <w:spacing w:val="-4"/>
          <w:sz w:val="32"/>
          <w:szCs w:val="32"/>
        </w:rPr>
        <w:sectPr>
          <w:pgSz w:w="11906" w:h="16838"/>
          <w:pgMar w:top="1440" w:right="1558" w:bottom="1440" w:left="1800" w:header="851" w:footer="992" w:gutter="0"/>
          <w:cols w:space="425" w:num="1"/>
          <w:docGrid w:type="lines" w:linePitch="312" w:charSpace="0"/>
        </w:sect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40" w:lineRule="exact"/>
        <w:ind w:firstLine="567"/>
        <w:rPr>
          <w:rFonts w:ascii="仿宋" w:hAnsi="仿宋" w:eastAsia="仿宋" w:cs="仿宋"/>
          <w:color w:val="000000"/>
          <w:sz w:val="32"/>
          <w:szCs w:val="32"/>
        </w:rPr>
      </w:pPr>
      <w:r>
        <w:rPr>
          <w:rFonts w:hint="eastAsia" w:ascii="仿宋" w:hAnsi="仿宋" w:eastAsia="仿宋" w:cs="仿宋"/>
          <w:color w:val="000000"/>
          <w:sz w:val="32"/>
          <w:szCs w:val="32"/>
        </w:rPr>
        <w:t>管理本地区地方地震监测台网和地震预报工作。负责提出本地区地震趋势预报意见，负责震情速报和地震灾情速报。组织大震现场科学考察;承担本地区防震减灾工作领导小组办公室工作，发生破坏性地震时，承担本地政府抗震救灾指挥机关办事机构的职责。承担我区地震监测台网运维工作。</w:t>
      </w:r>
    </w:p>
    <w:p>
      <w:pPr>
        <w:adjustRightInd w:val="0"/>
        <w:snapToGrid w:val="0"/>
        <w:spacing w:line="560" w:lineRule="exact"/>
        <w:ind w:firstLine="624" w:firstLineChars="200"/>
        <w:rPr>
          <w:rFonts w:ascii="仿宋" w:hAnsi="仿宋" w:eastAsia="仿宋" w:cs="仿宋"/>
          <w:bCs/>
          <w:spacing w:val="-4"/>
          <w:sz w:val="32"/>
          <w:szCs w:val="32"/>
        </w:rPr>
      </w:pPr>
      <w:r>
        <w:rPr>
          <w:rFonts w:hint="eastAsia" w:ascii="仿宋" w:hAnsi="仿宋" w:eastAsia="仿宋" w:cs="仿宋"/>
          <w:bCs/>
          <w:spacing w:val="-4"/>
          <w:sz w:val="32"/>
          <w:szCs w:val="32"/>
        </w:rPr>
        <w:t>喀什地区地震局设4个内设机构</w:t>
      </w:r>
    </w:p>
    <w:p>
      <w:pPr>
        <w:adjustRightInd w:val="0"/>
        <w:snapToGrid w:val="0"/>
        <w:spacing w:line="560" w:lineRule="exact"/>
        <w:ind w:firstLine="624" w:firstLineChars="200"/>
        <w:rPr>
          <w:rFonts w:ascii="仿宋" w:hAnsi="仿宋" w:eastAsia="仿宋" w:cs="仿宋"/>
          <w:bCs/>
          <w:spacing w:val="-4"/>
          <w:sz w:val="32"/>
          <w:szCs w:val="32"/>
        </w:rPr>
      </w:pPr>
      <w:r>
        <w:rPr>
          <w:rFonts w:hint="eastAsia" w:ascii="仿宋" w:hAnsi="仿宋" w:eastAsia="仿宋" w:cs="仿宋"/>
          <w:bCs/>
          <w:spacing w:val="-4"/>
          <w:sz w:val="32"/>
          <w:szCs w:val="32"/>
        </w:rPr>
        <w:t>办公室、监测科、震防科、应急救援科</w:t>
      </w:r>
    </w:p>
    <w:p>
      <w:pPr>
        <w:adjustRightInd w:val="0"/>
        <w:snapToGrid w:val="0"/>
        <w:spacing w:line="560" w:lineRule="exact"/>
        <w:ind w:firstLine="624" w:firstLineChars="200"/>
        <w:rPr>
          <w:rFonts w:ascii="仿宋" w:hAnsi="仿宋" w:eastAsia="仿宋" w:cs="仿宋"/>
          <w:bCs/>
          <w:spacing w:val="-4"/>
          <w:sz w:val="32"/>
          <w:szCs w:val="32"/>
        </w:rPr>
      </w:pPr>
      <w:r>
        <w:rPr>
          <w:rFonts w:hint="eastAsia" w:ascii="仿宋" w:hAnsi="仿宋" w:eastAsia="仿宋" w:cs="仿宋"/>
          <w:bCs/>
          <w:spacing w:val="-4"/>
          <w:sz w:val="32"/>
          <w:szCs w:val="32"/>
        </w:rPr>
        <w:t>核定编制及实际人数</w:t>
      </w:r>
    </w:p>
    <w:p>
      <w:pPr>
        <w:widowControl/>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1.核定编制</w:t>
      </w:r>
    </w:p>
    <w:p>
      <w:pPr>
        <w:widowControl/>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核定事业编制13名，其中局领导职数3名，科级领导职数4名，正科级虚职1名、副科级虚职1名，工勤（驾驶员）1名。</w:t>
      </w:r>
    </w:p>
    <w:p>
      <w:pPr>
        <w:widowControl/>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2.实有人数</w:t>
      </w:r>
    </w:p>
    <w:p>
      <w:pPr>
        <w:widowControl/>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现在岗人数12名。实有县处级4名，正科级干部2名、正科级虚职1名，享受副科级工资待遇1名（研究生），科员4名，工勤（驾驶员）1名。</w:t>
      </w:r>
    </w:p>
    <w:p>
      <w:pPr>
        <w:spacing w:line="540" w:lineRule="exact"/>
        <w:ind w:firstLine="567" w:firstLineChars="181"/>
        <w:rPr>
          <w:rStyle w:val="18"/>
          <w:rFonts w:ascii="仿宋" w:hAnsi="仿宋" w:eastAsia="仿宋"/>
          <w:b w:val="0"/>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1.预期目标及阶段性目标</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为保障201</w:t>
      </w:r>
      <w:r>
        <w:rPr>
          <w:rStyle w:val="18"/>
          <w:rFonts w:hint="eastAsia" w:ascii="仿宋" w:hAnsi="仿宋" w:eastAsia="仿宋"/>
          <w:b w:val="0"/>
          <w:spacing w:val="-4"/>
          <w:sz w:val="32"/>
          <w:szCs w:val="32"/>
          <w:lang w:val="en-US" w:eastAsia="zh-CN"/>
        </w:rPr>
        <w:t>8</w:t>
      </w:r>
      <w:r>
        <w:rPr>
          <w:rStyle w:val="18"/>
          <w:rFonts w:hint="eastAsia" w:ascii="仿宋" w:hAnsi="仿宋" w:eastAsia="仿宋"/>
          <w:b w:val="0"/>
          <w:spacing w:val="-4"/>
          <w:sz w:val="32"/>
          <w:szCs w:val="32"/>
        </w:rPr>
        <w:t>年地震动物宏观点正常，每月按时上报宏观点点数据，及时掌握和捕捉地震动物前兆。</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1、保障宏观点的运行数量为12个。</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2、每个观测点必须提供联系电话，保障电话畅通，每月电话连通率≥11个。</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2、保障宏观点每月9号之前报送上个月观测表格。</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3、报送表格需要填写动物种类、天气和是否有异常情况。</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4、由地区地震局每月向观测点支付100元。</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5、每年保障1.44万元宏观点维护费。</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我区宏观观测能力得到提升，为地震前兆监测提供辅助，群众满意度大于90%</w:t>
      </w:r>
    </w:p>
    <w:p>
      <w:pPr>
        <w:spacing w:line="540" w:lineRule="exact"/>
        <w:ind w:firstLine="567" w:firstLineChars="181"/>
        <w:rPr>
          <w:rStyle w:val="18"/>
          <w:rFonts w:ascii="仿宋" w:hAnsi="仿宋" w:eastAsia="仿宋"/>
          <w:bCs w:val="0"/>
          <w:spacing w:val="-4"/>
          <w:sz w:val="32"/>
          <w:szCs w:val="32"/>
        </w:rPr>
      </w:pPr>
      <w:r>
        <w:rPr>
          <w:rStyle w:val="18"/>
          <w:rFonts w:hint="eastAsia" w:ascii="仿宋" w:hAnsi="仿宋" w:eastAsia="仿宋"/>
          <w:bCs w:val="0"/>
          <w:spacing w:val="-4"/>
          <w:sz w:val="32"/>
          <w:szCs w:val="32"/>
        </w:rPr>
        <w:t>2.项目基本性质</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延续性项目</w:t>
      </w:r>
    </w:p>
    <w:p>
      <w:pPr>
        <w:spacing w:line="540" w:lineRule="exact"/>
        <w:ind w:firstLine="567" w:firstLineChars="181"/>
        <w:rPr>
          <w:rStyle w:val="18"/>
          <w:rFonts w:ascii="仿宋" w:hAnsi="仿宋" w:eastAsia="仿宋"/>
          <w:bCs w:val="0"/>
          <w:spacing w:val="-4"/>
          <w:sz w:val="32"/>
          <w:szCs w:val="32"/>
        </w:rPr>
      </w:pPr>
      <w:r>
        <w:rPr>
          <w:rStyle w:val="18"/>
          <w:rFonts w:hint="eastAsia" w:ascii="仿宋" w:hAnsi="仿宋" w:eastAsia="仿宋"/>
          <w:bCs w:val="0"/>
          <w:spacing w:val="-4"/>
          <w:sz w:val="32"/>
          <w:szCs w:val="32"/>
        </w:rPr>
        <w:t>3.用途和主要内容涉及范围</w:t>
      </w:r>
    </w:p>
    <w:p>
      <w:pPr>
        <w:spacing w:line="560" w:lineRule="exact"/>
        <w:ind w:firstLine="624" w:firstLineChars="200"/>
        <w:rPr>
          <w:rStyle w:val="18"/>
          <w:rFonts w:ascii="仿宋" w:hAnsi="仿宋" w:eastAsia="仿宋" w:cs="仿宋"/>
          <w:b w:val="0"/>
          <w:spacing w:val="-4"/>
          <w:sz w:val="32"/>
          <w:szCs w:val="32"/>
        </w:rPr>
      </w:pPr>
      <w:r>
        <w:rPr>
          <w:rFonts w:hint="eastAsia" w:ascii="仿宋" w:hAnsi="仿宋" w:eastAsia="仿宋" w:cs="仿宋"/>
          <w:bCs/>
          <w:spacing w:val="-4"/>
          <w:sz w:val="32"/>
          <w:szCs w:val="32"/>
        </w:rPr>
        <w:t>项目资金用于支付宏观点观测费和宏观点巡检费用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564" w:firstLineChars="181"/>
        <w:rPr>
          <w:rFonts w:ascii="仿宋" w:hAnsi="仿宋" w:eastAsia="仿宋" w:cs="仿宋"/>
          <w:bCs/>
          <w:spacing w:val="-4"/>
          <w:sz w:val="32"/>
          <w:szCs w:val="32"/>
        </w:rPr>
      </w:pPr>
      <w:r>
        <w:rPr>
          <w:rFonts w:hint="eastAsia" w:ascii="仿宋" w:hAnsi="仿宋" w:eastAsia="仿宋" w:cs="仿宋"/>
          <w:bCs/>
          <w:spacing w:val="-4"/>
          <w:sz w:val="32"/>
          <w:szCs w:val="32"/>
        </w:rPr>
        <w:t>财政资金：共计需2.88万元；其中财政拨款资金2.88万元，</w:t>
      </w:r>
      <w:r>
        <w:rPr>
          <w:rFonts w:hint="eastAsia" w:ascii="仿宋" w:hAnsi="仿宋" w:eastAsia="仿宋"/>
          <w:bCs/>
          <w:spacing w:val="-4"/>
          <w:sz w:val="32"/>
          <w:szCs w:val="32"/>
        </w:rPr>
        <w:t>自筹资金0万元,201</w:t>
      </w:r>
      <w:r>
        <w:rPr>
          <w:rFonts w:hint="eastAsia" w:ascii="仿宋" w:hAnsi="仿宋" w:eastAsia="仿宋"/>
          <w:bCs/>
          <w:spacing w:val="-4"/>
          <w:sz w:val="32"/>
          <w:szCs w:val="32"/>
          <w:lang w:val="en-US" w:eastAsia="zh-CN"/>
        </w:rPr>
        <w:t>8</w:t>
      </w:r>
      <w:r>
        <w:rPr>
          <w:rFonts w:hint="eastAsia" w:ascii="仿宋" w:hAnsi="仿宋" w:eastAsia="仿宋"/>
          <w:bCs/>
          <w:spacing w:val="-4"/>
          <w:sz w:val="32"/>
          <w:szCs w:val="32"/>
        </w:rPr>
        <w:t>年实际执行2. 88万元</w:t>
      </w:r>
      <w:r>
        <w:rPr>
          <w:rFonts w:hint="eastAsia" w:ascii="仿宋" w:hAnsi="仿宋" w:eastAsia="仿宋" w:cs="仿宋"/>
          <w:bCs/>
          <w:spacing w:val="-4"/>
          <w:sz w:val="32"/>
          <w:szCs w:val="32"/>
        </w:rPr>
        <w:t>。</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60" w:lineRule="exact"/>
        <w:ind w:firstLine="624" w:firstLineChars="200"/>
        <w:rPr>
          <w:rFonts w:ascii="仿宋" w:hAnsi="仿宋" w:eastAsia="仿宋" w:cs="仿宋"/>
          <w:bCs/>
          <w:spacing w:val="-4"/>
          <w:sz w:val="32"/>
          <w:szCs w:val="32"/>
        </w:rPr>
      </w:pPr>
      <w:r>
        <w:rPr>
          <w:rFonts w:hint="eastAsia" w:ascii="仿宋" w:hAnsi="仿宋" w:eastAsia="仿宋" w:cs="仿宋"/>
          <w:bCs/>
          <w:spacing w:val="-4"/>
          <w:sz w:val="32"/>
          <w:szCs w:val="32"/>
        </w:rPr>
        <w:t>财政使用情况分析：支付宏观观测费1.44万元、其中车辆1万元，人员0.44万元。</w:t>
      </w:r>
    </w:p>
    <w:p>
      <w:pPr>
        <w:spacing w:line="56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adjustRightInd w:val="0"/>
        <w:snapToGrid w:val="0"/>
        <w:spacing w:line="560" w:lineRule="exact"/>
        <w:ind w:firstLine="624" w:firstLineChars="200"/>
        <w:rPr>
          <w:rFonts w:ascii="仿宋" w:hAnsi="仿宋" w:eastAsia="仿宋" w:cs="仿宋"/>
          <w:bCs/>
          <w:spacing w:val="-4"/>
          <w:sz w:val="32"/>
          <w:szCs w:val="32"/>
        </w:rPr>
      </w:pPr>
      <w:r>
        <w:rPr>
          <w:rFonts w:hint="eastAsia" w:ascii="仿宋" w:hAnsi="仿宋" w:eastAsia="仿宋" w:cs="仿宋"/>
          <w:bCs/>
          <w:spacing w:val="-4"/>
          <w:sz w:val="32"/>
          <w:szCs w:val="32"/>
        </w:rPr>
        <w:t>本项目制定了相应的项目资金管理办法，资金管理办法是符合国家财经法规和财务管理制度以及有关资金管理办法的规定，资金的拨付有完整的审批程序和手续，不存在截留、挤占、挪用、虚列支出等情况。</w:t>
      </w:r>
    </w:p>
    <w:p>
      <w:pPr>
        <w:spacing w:line="560" w:lineRule="exact"/>
        <w:ind w:firstLine="624" w:firstLineChars="200"/>
        <w:rPr>
          <w:rFonts w:ascii="仿宋" w:hAnsi="仿宋" w:eastAsia="仿宋" w:cs="仿宋"/>
          <w:bCs/>
          <w:spacing w:val="-4"/>
          <w:sz w:val="32"/>
          <w:szCs w:val="32"/>
        </w:rPr>
      </w:pPr>
      <w:r>
        <w:rPr>
          <w:rFonts w:hint="eastAsia" w:ascii="仿宋" w:hAnsi="仿宋" w:eastAsia="仿宋" w:cs="仿宋"/>
          <w:bCs/>
          <w:spacing w:val="-4"/>
          <w:sz w:val="32"/>
          <w:szCs w:val="32"/>
        </w:rPr>
        <w:t>根据喀什地区地震局宏观点运行制度，报请局领导批准后实施。</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adjustRightInd w:val="0"/>
        <w:snapToGrid w:val="0"/>
        <w:spacing w:line="560" w:lineRule="exact"/>
        <w:ind w:firstLine="624" w:firstLineChars="200"/>
        <w:rPr>
          <w:rFonts w:ascii="仿宋" w:hAnsi="仿宋" w:eastAsia="仿宋" w:cs="仿宋"/>
          <w:bCs/>
          <w:spacing w:val="-4"/>
          <w:sz w:val="32"/>
          <w:szCs w:val="32"/>
        </w:rPr>
      </w:pPr>
      <w:r>
        <w:rPr>
          <w:rFonts w:hint="eastAsia" w:ascii="仿宋" w:hAnsi="仿宋" w:eastAsia="仿宋" w:cs="仿宋"/>
          <w:bCs/>
          <w:spacing w:val="-4"/>
          <w:sz w:val="32"/>
          <w:szCs w:val="32"/>
        </w:rPr>
        <w:t>由本单位项目由我单位负责落实。实施过程均按照本单位制定的管理制度执行。实施过程均按照本单位制定的管理制度执行。本项目不存在调整情况。运行率由自治区地震局负责监督。</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60" w:lineRule="exact"/>
        <w:ind w:firstLine="624" w:firstLineChars="200"/>
        <w:rPr>
          <w:rFonts w:ascii="楷体" w:hAnsi="楷体" w:eastAsia="楷体" w:cs="楷体"/>
          <w:spacing w:val="-4"/>
          <w:sz w:val="32"/>
          <w:szCs w:val="32"/>
        </w:rPr>
      </w:pPr>
      <w:bookmarkStart w:id="0" w:name="_GoBack"/>
      <w:r>
        <w:rPr>
          <w:rFonts w:hint="eastAsia" w:ascii="仿宋" w:hAnsi="仿宋" w:eastAsia="仿宋" w:cs="仿宋"/>
          <w:bCs/>
          <w:spacing w:val="-4"/>
          <w:sz w:val="32"/>
          <w:szCs w:val="32"/>
        </w:rPr>
        <w:t>由自治区地震局每1个月对所有红观点数据进行一次收集并于每月9日之前上报自追求地震局。</w:t>
      </w:r>
    </w:p>
    <w:bookmarkEnd w:id="0"/>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cs="仿宋"/>
          <w:bCs/>
          <w:spacing w:val="-4"/>
          <w:sz w:val="32"/>
          <w:szCs w:val="32"/>
        </w:rPr>
      </w:pPr>
      <w:r>
        <w:rPr>
          <w:rFonts w:hint="eastAsia" w:ascii="仿宋" w:hAnsi="仿宋" w:eastAsia="仿宋" w:cs="仿宋"/>
          <w:bCs/>
          <w:color w:val="000000"/>
          <w:spacing w:val="-4"/>
          <w:sz w:val="32"/>
          <w:szCs w:val="32"/>
        </w:rPr>
        <w:t>本项目共设置一级指标3个，二级指标7个，三级指标9个，其中已完成三级指标9个，指标完成率为100%。</w:t>
      </w:r>
    </w:p>
    <w:p>
      <w:pPr>
        <w:adjustRightInd w:val="0"/>
        <w:snapToGrid w:val="0"/>
        <w:spacing w:line="560" w:lineRule="exact"/>
        <w:ind w:firstLine="624" w:firstLineChars="200"/>
        <w:rPr>
          <w:rFonts w:ascii="仿宋" w:hAnsi="仿宋" w:eastAsia="仿宋" w:cs="仿宋"/>
          <w:bCs/>
          <w:color w:val="000000"/>
          <w:spacing w:val="-4"/>
          <w:sz w:val="32"/>
          <w:szCs w:val="32"/>
        </w:rPr>
      </w:pPr>
      <w:r>
        <w:rPr>
          <w:rFonts w:hint="eastAsia" w:ascii="仿宋" w:hAnsi="仿宋" w:eastAsia="仿宋" w:cs="仿宋"/>
          <w:bCs/>
          <w:color w:val="000000"/>
          <w:spacing w:val="-4"/>
          <w:sz w:val="32"/>
          <w:szCs w:val="32"/>
        </w:rPr>
        <w:t>经济性：一次性连续检查多个宏观点可以有效降低成本。</w:t>
      </w:r>
    </w:p>
    <w:p>
      <w:pPr>
        <w:adjustRightInd w:val="0"/>
        <w:snapToGrid w:val="0"/>
        <w:spacing w:line="560" w:lineRule="exact"/>
        <w:ind w:firstLine="624" w:firstLineChars="200"/>
        <w:rPr>
          <w:rFonts w:ascii="仿宋" w:hAnsi="仿宋" w:eastAsia="仿宋" w:cs="仿宋"/>
          <w:bCs/>
          <w:color w:val="000000"/>
          <w:spacing w:val="-4"/>
          <w:sz w:val="32"/>
          <w:szCs w:val="32"/>
        </w:rPr>
      </w:pPr>
      <w:r>
        <w:rPr>
          <w:rFonts w:hint="eastAsia" w:ascii="仿宋" w:hAnsi="仿宋" w:eastAsia="仿宋" w:cs="仿宋"/>
          <w:bCs/>
          <w:color w:val="000000"/>
          <w:spacing w:val="-4"/>
          <w:sz w:val="32"/>
          <w:szCs w:val="32"/>
        </w:rPr>
        <w:t>效率性：制定每次台站维修时限或一次性对多个宏观点开展巡检工作，缩短工作在途时间，有助于提高工作效率。</w:t>
      </w:r>
    </w:p>
    <w:p>
      <w:pPr>
        <w:adjustRightInd w:val="0"/>
        <w:snapToGrid w:val="0"/>
        <w:spacing w:line="560" w:lineRule="exact"/>
        <w:ind w:firstLine="624" w:firstLineChars="200"/>
        <w:rPr>
          <w:rFonts w:ascii="仿宋" w:hAnsi="仿宋" w:eastAsia="仿宋" w:cs="仿宋"/>
          <w:bCs/>
          <w:color w:val="000000"/>
          <w:spacing w:val="-4"/>
          <w:sz w:val="32"/>
          <w:szCs w:val="32"/>
        </w:rPr>
      </w:pPr>
      <w:r>
        <w:rPr>
          <w:rFonts w:hint="eastAsia" w:ascii="仿宋" w:hAnsi="仿宋" w:eastAsia="仿宋" w:cs="仿宋"/>
          <w:bCs/>
          <w:color w:val="000000"/>
          <w:spacing w:val="-4"/>
          <w:sz w:val="32"/>
          <w:szCs w:val="32"/>
        </w:rPr>
        <w:t>效益性：宏观数据有助于进一步分析地震前兆与动物之间的联系。</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 w:hAnsi="仿宋" w:eastAsia="仿宋" w:cs="仿宋"/>
          <w:bCs/>
          <w:color w:val="000000"/>
          <w:spacing w:val="-4"/>
          <w:sz w:val="32"/>
          <w:szCs w:val="32"/>
        </w:rPr>
      </w:pPr>
      <w:r>
        <w:rPr>
          <w:rFonts w:hint="eastAsia" w:ascii="仿宋" w:hAnsi="仿宋" w:eastAsia="仿宋" w:cs="仿宋"/>
          <w:color w:val="000000"/>
          <w:spacing w:val="-4"/>
          <w:sz w:val="32"/>
          <w:szCs w:val="32"/>
        </w:rPr>
        <w:t xml:space="preserve"> 2017年本项目绩效目标全部达成，不存在未完成原因分析。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6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（一）后续工作计划</w:t>
      </w:r>
    </w:p>
    <w:p>
      <w:pPr>
        <w:spacing w:line="560" w:lineRule="exact"/>
        <w:ind w:firstLine="624" w:firstLineChars="200"/>
        <w:rPr>
          <w:rFonts w:ascii="仿宋_GB2312" w:eastAsia="仿宋_GB2312" w:cs="仿宋_GB2312"/>
          <w:spacing w:val="-4"/>
          <w:sz w:val="32"/>
          <w:szCs w:val="32"/>
        </w:rPr>
      </w:pPr>
      <w:r>
        <w:rPr>
          <w:rFonts w:hint="eastAsia" w:ascii="仿宋_GB2312" w:eastAsia="仿宋_GB2312" w:cs="仿宋_GB2312"/>
          <w:spacing w:val="-4"/>
          <w:sz w:val="32"/>
          <w:szCs w:val="32"/>
        </w:rPr>
        <w:t>继续做好地震红观点巡检工作，确保宏观点数据真实有效</w:t>
      </w:r>
    </w:p>
    <w:p>
      <w:pPr>
        <w:adjustRightInd w:val="0"/>
        <w:snapToGrid w:val="0"/>
        <w:spacing w:line="560" w:lineRule="exact"/>
        <w:ind w:firstLine="627" w:firstLineChars="200"/>
        <w:outlineLvl w:val="0"/>
        <w:rPr>
          <w:rFonts w:ascii="楷体" w:hAnsi="楷体" w:eastAsia="楷体" w:cs="楷体"/>
          <w:b/>
          <w:spacing w:val="-4"/>
          <w:sz w:val="32"/>
          <w:szCs w:val="32"/>
        </w:rPr>
      </w:pPr>
      <w:r>
        <w:rPr>
          <w:rFonts w:hint="eastAsia" w:ascii="楷体" w:hAnsi="楷体" w:eastAsia="楷体" w:cs="楷体"/>
          <w:b/>
          <w:spacing w:val="-4"/>
          <w:sz w:val="32"/>
          <w:szCs w:val="32"/>
        </w:rPr>
        <w:t>（二）主要经验及做法、存在问题和建议</w:t>
      </w:r>
    </w:p>
    <w:p>
      <w:pPr>
        <w:adjustRightInd w:val="0"/>
        <w:snapToGrid w:val="0"/>
        <w:spacing w:line="560" w:lineRule="exact"/>
        <w:ind w:firstLine="624" w:firstLineChars="200"/>
        <w:rPr>
          <w:rFonts w:ascii="仿宋" w:hAnsi="仿宋" w:eastAsia="仿宋" w:cs="仿宋"/>
          <w:bCs/>
          <w:spacing w:val="-4"/>
          <w:sz w:val="32"/>
          <w:szCs w:val="32"/>
        </w:rPr>
      </w:pPr>
      <w:r>
        <w:rPr>
          <w:rFonts w:hint="eastAsia" w:ascii="仿宋" w:hAnsi="仿宋" w:eastAsia="仿宋" w:cs="仿宋"/>
          <w:bCs/>
          <w:spacing w:val="-4"/>
          <w:sz w:val="32"/>
          <w:szCs w:val="32"/>
        </w:rPr>
        <w:t>1、主要经验及做法</w:t>
      </w:r>
    </w:p>
    <w:p>
      <w:pPr>
        <w:adjustRightInd w:val="0"/>
        <w:snapToGrid w:val="0"/>
        <w:spacing w:line="560" w:lineRule="exact"/>
        <w:ind w:firstLine="624" w:firstLineChars="200"/>
        <w:rPr>
          <w:rFonts w:ascii="仿宋" w:hAnsi="仿宋" w:eastAsia="仿宋" w:cs="仿宋"/>
          <w:bCs/>
          <w:spacing w:val="-4"/>
          <w:sz w:val="32"/>
          <w:szCs w:val="32"/>
        </w:rPr>
      </w:pPr>
      <w:r>
        <w:rPr>
          <w:rFonts w:hint="eastAsia" w:ascii="仿宋" w:hAnsi="仿宋" w:eastAsia="仿宋" w:cs="仿宋"/>
          <w:bCs/>
          <w:spacing w:val="-4"/>
          <w:sz w:val="32"/>
          <w:szCs w:val="32"/>
        </w:rPr>
        <w:t>在项目执行过程中提前预留固定开支，并通过加大日工作量的方法，节约项目经费。</w:t>
      </w:r>
    </w:p>
    <w:p>
      <w:pPr>
        <w:numPr>
          <w:ilvl w:val="0"/>
          <w:numId w:val="1"/>
        </w:numPr>
        <w:adjustRightInd w:val="0"/>
        <w:snapToGrid w:val="0"/>
        <w:spacing w:line="560" w:lineRule="exact"/>
        <w:ind w:firstLine="624" w:firstLineChars="200"/>
        <w:rPr>
          <w:rFonts w:ascii="仿宋" w:hAnsi="仿宋" w:eastAsia="仿宋" w:cs="仿宋"/>
          <w:bCs/>
          <w:spacing w:val="-4"/>
          <w:sz w:val="32"/>
          <w:szCs w:val="32"/>
        </w:rPr>
      </w:pPr>
      <w:r>
        <w:rPr>
          <w:rFonts w:hint="eastAsia" w:ascii="仿宋" w:hAnsi="仿宋" w:eastAsia="仿宋" w:cs="仿宋"/>
          <w:bCs/>
          <w:spacing w:val="-4"/>
          <w:sz w:val="32"/>
          <w:szCs w:val="32"/>
        </w:rPr>
        <w:t>存在的问题</w:t>
      </w:r>
    </w:p>
    <w:p>
      <w:pPr>
        <w:adjustRightInd w:val="0"/>
        <w:snapToGrid w:val="0"/>
        <w:spacing w:line="560" w:lineRule="exact"/>
        <w:ind w:firstLine="624" w:firstLineChars="200"/>
        <w:rPr>
          <w:rFonts w:ascii="仿宋_GB2312" w:eastAsia="仿宋_GB2312" w:cs="仿宋_GB2312"/>
          <w:spacing w:val="-4"/>
          <w:sz w:val="32"/>
          <w:szCs w:val="32"/>
        </w:rPr>
      </w:pPr>
      <w:r>
        <w:rPr>
          <w:rFonts w:hint="eastAsia" w:ascii="仿宋_GB2312" w:eastAsia="仿宋_GB2312" w:cs="仿宋_GB2312"/>
          <w:spacing w:val="-4"/>
          <w:sz w:val="32"/>
          <w:szCs w:val="32"/>
        </w:rPr>
        <w:t>本项目在执行中，存在项目资金总额度可以有效控制，但在资金分项资金预算方面还需进一步优化，确保项目资金使用更加科学合规。</w:t>
      </w:r>
    </w:p>
    <w:p>
      <w:pPr>
        <w:numPr>
          <w:ilvl w:val="0"/>
          <w:numId w:val="1"/>
        </w:numPr>
        <w:adjustRightInd w:val="0"/>
        <w:snapToGrid w:val="0"/>
        <w:spacing w:line="560" w:lineRule="exact"/>
        <w:ind w:firstLine="624" w:firstLineChars="200"/>
        <w:rPr>
          <w:rFonts w:ascii="仿宋" w:hAnsi="仿宋" w:eastAsia="仿宋" w:cs="仿宋"/>
          <w:bCs/>
          <w:spacing w:val="-4"/>
          <w:sz w:val="32"/>
          <w:szCs w:val="32"/>
        </w:rPr>
      </w:pPr>
      <w:r>
        <w:rPr>
          <w:rFonts w:hint="eastAsia" w:ascii="仿宋" w:hAnsi="仿宋" w:eastAsia="仿宋" w:cs="仿宋"/>
          <w:bCs/>
          <w:spacing w:val="-4"/>
          <w:sz w:val="32"/>
          <w:szCs w:val="32"/>
        </w:rPr>
        <w:t>建议</w:t>
      </w:r>
    </w:p>
    <w:p>
      <w:pPr>
        <w:adjustRightInd w:val="0"/>
        <w:snapToGrid w:val="0"/>
        <w:spacing w:line="560" w:lineRule="exact"/>
        <w:ind w:firstLine="624" w:firstLineChars="200"/>
        <w:rPr>
          <w:rFonts w:ascii="仿宋_GB2312" w:eastAsia="仿宋_GB2312" w:cs="仿宋_GB2312"/>
          <w:spacing w:val="-4"/>
          <w:sz w:val="32"/>
          <w:szCs w:val="32"/>
        </w:rPr>
      </w:pPr>
      <w:r>
        <w:rPr>
          <w:rFonts w:hint="eastAsia" w:ascii="仿宋_GB2312" w:eastAsia="仿宋_GB2312" w:cs="仿宋_GB2312"/>
          <w:spacing w:val="-4"/>
          <w:sz w:val="32"/>
          <w:szCs w:val="32"/>
        </w:rPr>
        <w:t>本项目受到外界影响较大，不确定因素较多，在项目实施过程可能超预算资金，在资金方面能否给予一定范围资金浮动。</w:t>
      </w:r>
    </w:p>
    <w:p>
      <w:pPr>
        <w:adjustRightInd w:val="0"/>
        <w:snapToGrid w:val="0"/>
        <w:spacing w:line="560" w:lineRule="exact"/>
        <w:ind w:firstLine="627" w:firstLineChars="200"/>
        <w:outlineLvl w:val="0"/>
        <w:rPr>
          <w:rFonts w:ascii="楷体" w:hAnsi="楷体" w:eastAsia="楷体" w:cs="楷体"/>
          <w:b/>
          <w:spacing w:val="-4"/>
          <w:sz w:val="32"/>
          <w:szCs w:val="32"/>
        </w:rPr>
      </w:pPr>
      <w:r>
        <w:rPr>
          <w:rFonts w:hint="eastAsia" w:ascii="楷体" w:hAnsi="楷体" w:eastAsia="楷体" w:cs="楷体"/>
          <w:b/>
          <w:spacing w:val="-4"/>
          <w:sz w:val="32"/>
          <w:szCs w:val="32"/>
        </w:rPr>
        <w:t>（三）其他</w:t>
      </w:r>
    </w:p>
    <w:p>
      <w:pPr>
        <w:adjustRightInd w:val="0"/>
        <w:snapToGrid w:val="0"/>
        <w:spacing w:line="560" w:lineRule="exact"/>
        <w:ind w:firstLine="624" w:firstLineChars="200"/>
        <w:rPr>
          <w:rFonts w:ascii="楷体" w:hAnsi="楷体" w:eastAsia="楷体"/>
          <w:b/>
          <w:spacing w:val="-4"/>
          <w:sz w:val="32"/>
          <w:szCs w:val="32"/>
        </w:rPr>
      </w:pPr>
      <w:r>
        <w:rPr>
          <w:rFonts w:hint="eastAsia" w:ascii="仿宋" w:hAnsi="仿宋" w:eastAsia="仿宋" w:cs="仿宋"/>
          <w:color w:val="000000"/>
          <w:spacing w:val="-4"/>
          <w:sz w:val="32"/>
          <w:szCs w:val="32"/>
        </w:rPr>
        <w:t>无其他说明内容</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《自治区财政项目支出绩效目标自评表》</w:t>
      </w:r>
    </w:p>
    <w:p>
      <w:pPr>
        <w:spacing w:line="540" w:lineRule="exact"/>
        <w:ind w:firstLine="564" w:firstLineChars="181"/>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0BD492"/>
    <w:multiLevelType w:val="multilevel"/>
    <w:tmpl w:val="730BD492"/>
    <w:lvl w:ilvl="0" w:tentative="0">
      <w:start w:val="2"/>
      <w:numFmt w:val="decimal"/>
      <w:suff w:val="nothing"/>
      <w:lvlText w:val="%1、"/>
      <w:lvlJc w:val="left"/>
      <w:pPr>
        <w:ind w:left="0" w:firstLine="0"/>
      </w:pPr>
      <w:rPr>
        <w:rFonts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CA6457"/>
    <w:rsid w:val="000509FD"/>
    <w:rsid w:val="000520B6"/>
    <w:rsid w:val="00056465"/>
    <w:rsid w:val="00121AE4"/>
    <w:rsid w:val="00146AAD"/>
    <w:rsid w:val="001A73D1"/>
    <w:rsid w:val="001B3A40"/>
    <w:rsid w:val="004366A8"/>
    <w:rsid w:val="00460889"/>
    <w:rsid w:val="004959AC"/>
    <w:rsid w:val="004F4636"/>
    <w:rsid w:val="00502BA7"/>
    <w:rsid w:val="005162F1"/>
    <w:rsid w:val="005165A4"/>
    <w:rsid w:val="00535153"/>
    <w:rsid w:val="00554F82"/>
    <w:rsid w:val="0056390D"/>
    <w:rsid w:val="005719B0"/>
    <w:rsid w:val="005D10D6"/>
    <w:rsid w:val="00715CD6"/>
    <w:rsid w:val="007F5590"/>
    <w:rsid w:val="00855E3A"/>
    <w:rsid w:val="008E5A11"/>
    <w:rsid w:val="00922CB9"/>
    <w:rsid w:val="009B5BFB"/>
    <w:rsid w:val="009E5CD9"/>
    <w:rsid w:val="00A26421"/>
    <w:rsid w:val="00A4293B"/>
    <w:rsid w:val="00A67D50"/>
    <w:rsid w:val="00A8691A"/>
    <w:rsid w:val="00AC1946"/>
    <w:rsid w:val="00B32D76"/>
    <w:rsid w:val="00B40063"/>
    <w:rsid w:val="00B41F61"/>
    <w:rsid w:val="00BA46E6"/>
    <w:rsid w:val="00C2487C"/>
    <w:rsid w:val="00C47C14"/>
    <w:rsid w:val="00C56C72"/>
    <w:rsid w:val="00CA6457"/>
    <w:rsid w:val="00CC066E"/>
    <w:rsid w:val="00D106D2"/>
    <w:rsid w:val="00D17F2E"/>
    <w:rsid w:val="00D30354"/>
    <w:rsid w:val="00DF42A0"/>
    <w:rsid w:val="00E769FE"/>
    <w:rsid w:val="00EA2CBE"/>
    <w:rsid w:val="00EA76D2"/>
    <w:rsid w:val="00F32FEE"/>
    <w:rsid w:val="00F55898"/>
    <w:rsid w:val="00FB10BB"/>
    <w:rsid w:val="05312864"/>
    <w:rsid w:val="15BD493B"/>
    <w:rsid w:val="17296405"/>
    <w:rsid w:val="1F4F2D75"/>
    <w:rsid w:val="265B1970"/>
    <w:rsid w:val="26F10234"/>
    <w:rsid w:val="364B09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5"/>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263</Words>
  <Characters>1502</Characters>
  <Lines>12</Lines>
  <Paragraphs>3</Paragraphs>
  <TotalTime>7</TotalTime>
  <ScaleCrop>false</ScaleCrop>
  <LinksUpToDate>false</LinksUpToDate>
  <CharactersWithSpaces>1762</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Reality</cp:lastModifiedBy>
  <cp:lastPrinted>2018-12-31T10:56:00Z</cp:lastPrinted>
  <dcterms:modified xsi:type="dcterms:W3CDTF">2019-08-21T10:35:46Z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