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50"/>
        <w:jc w:val="center"/>
        <w:rPr>
          <w:rFonts w:ascii="方正小标宋简体" w:eastAsia="方正小标宋简体"/>
          <w:sz w:val="44"/>
          <w:szCs w:val="44"/>
        </w:rPr>
      </w:pPr>
    </w:p>
    <w:p>
      <w:pPr>
        <w:spacing w:beforeLines="50"/>
        <w:jc w:val="center"/>
        <w:rPr>
          <w:rFonts w:ascii="方正小标宋简体" w:eastAsia="方正小标宋简体"/>
          <w:sz w:val="44"/>
          <w:szCs w:val="44"/>
        </w:rPr>
      </w:pPr>
    </w:p>
    <w:p>
      <w:pPr>
        <w:spacing w:line="700" w:lineRule="exact"/>
        <w:ind w:firstLine="440" w:firstLineChars="100"/>
        <w:jc w:val="left"/>
        <w:rPr>
          <w:rFonts w:hAnsi="宋体" w:cs="宋体"/>
          <w:color w:val="000000"/>
          <w:kern w:val="0"/>
          <w:sz w:val="36"/>
          <w:szCs w:val="36"/>
        </w:rPr>
      </w:pPr>
      <w:r>
        <w:rPr>
          <w:rFonts w:hint="eastAsia" w:ascii="方正小标宋简体" w:eastAsia="方正小标宋简体"/>
          <w:sz w:val="44"/>
          <w:szCs w:val="44"/>
        </w:rPr>
        <w:t>喀什地区第一人民医院医疗服务与保障能力提升（卫生健康人才培养培训）项目支出绩效评价报告</w:t>
      </w:r>
    </w:p>
    <w:p>
      <w:pPr>
        <w:spacing w:beforeLines="50"/>
        <w:jc w:val="center"/>
        <w:rPr>
          <w:rFonts w:ascii="方正小标宋简体" w:eastAsia="方正小标宋简体"/>
          <w:sz w:val="52"/>
          <w:szCs w:val="52"/>
        </w:rPr>
      </w:pPr>
    </w:p>
    <w:p>
      <w:pPr>
        <w:spacing w:beforeLines="50"/>
        <w:jc w:val="center"/>
        <w:rPr>
          <w:rFonts w:ascii="方正小标宋简体" w:eastAsia="方正小标宋简体"/>
          <w:sz w:val="52"/>
          <w:szCs w:val="52"/>
        </w:rPr>
      </w:pPr>
    </w:p>
    <w:p>
      <w:pPr>
        <w:spacing w:beforeLines="50"/>
        <w:jc w:val="center"/>
        <w:rPr>
          <w:rFonts w:ascii="方正小标宋简体" w:eastAsia="方正小标宋简体"/>
          <w:sz w:val="52"/>
          <w:szCs w:val="52"/>
        </w:rPr>
      </w:pPr>
    </w:p>
    <w:p>
      <w:pPr>
        <w:spacing w:beforeLines="50"/>
        <w:jc w:val="center"/>
        <w:rPr>
          <w:rFonts w:ascii="方正小标宋简体" w:eastAsia="方正小标宋简体"/>
          <w:sz w:val="52"/>
          <w:szCs w:val="52"/>
        </w:rPr>
      </w:pPr>
    </w:p>
    <w:p>
      <w:pPr>
        <w:autoSpaceDE w:val="0"/>
        <w:autoSpaceDN w:val="0"/>
        <w:spacing w:line="540" w:lineRule="exact"/>
        <w:ind w:left="718" w:leftChars="342"/>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项目名称：医疗服务与保障能力提升（卫生健康人才培养培训）项目</w:t>
      </w:r>
    </w:p>
    <w:p>
      <w:pPr>
        <w:autoSpaceDE w:val="0"/>
        <w:autoSpaceDN w:val="0"/>
        <w:spacing w:line="540" w:lineRule="exact"/>
        <w:ind w:firstLine="712" w:firstLineChars="2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实施单位：喀什地区第一人民医院</w:t>
      </w:r>
    </w:p>
    <w:p>
      <w:pPr>
        <w:autoSpaceDE w:val="0"/>
        <w:autoSpaceDN w:val="0"/>
        <w:spacing w:line="540" w:lineRule="exact"/>
        <w:ind w:firstLine="712" w:firstLineChars="2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评价部门：喀什地区第一人民医院教学管理科</w:t>
      </w:r>
    </w:p>
    <w:p>
      <w:pPr>
        <w:autoSpaceDE w:val="0"/>
        <w:autoSpaceDN w:val="0"/>
        <w:spacing w:line="540" w:lineRule="exact"/>
        <w:ind w:firstLine="712" w:firstLineChars="200"/>
        <w:rPr>
          <w:rFonts w:ascii="仿宋_GB2312" w:hAnsi="仿宋" w:eastAsia="仿宋_GB2312" w:cs="Times New Roman"/>
          <w:spacing w:val="-2"/>
          <w:sz w:val="36"/>
          <w:szCs w:val="36"/>
        </w:rPr>
      </w:pPr>
    </w:p>
    <w:p>
      <w:pPr>
        <w:autoSpaceDE w:val="0"/>
        <w:autoSpaceDN w:val="0"/>
        <w:spacing w:line="540" w:lineRule="exact"/>
        <w:ind w:firstLine="712" w:firstLineChars="200"/>
        <w:rPr>
          <w:rFonts w:ascii="仿宋_GB2312" w:hAnsi="仿宋" w:eastAsia="仿宋_GB2312" w:cs="Times New Roman"/>
          <w:spacing w:val="-2"/>
          <w:sz w:val="36"/>
          <w:szCs w:val="36"/>
        </w:rPr>
      </w:pPr>
    </w:p>
    <w:p>
      <w:pPr>
        <w:autoSpaceDE w:val="0"/>
        <w:autoSpaceDN w:val="0"/>
        <w:spacing w:line="540" w:lineRule="exact"/>
        <w:ind w:firstLine="2136" w:firstLineChars="600"/>
        <w:rPr>
          <w:rFonts w:ascii="仿宋_GB2312" w:hAnsi="仿宋" w:eastAsia="仿宋_GB2312" w:cs="Times New Roman"/>
          <w:spacing w:val="-2"/>
          <w:sz w:val="36"/>
          <w:szCs w:val="36"/>
        </w:rPr>
      </w:pPr>
    </w:p>
    <w:p>
      <w:pPr>
        <w:autoSpaceDE w:val="0"/>
        <w:autoSpaceDN w:val="0"/>
        <w:spacing w:line="540" w:lineRule="exact"/>
        <w:ind w:firstLine="2848" w:firstLineChars="8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二零二零年四月</w:t>
      </w:r>
    </w:p>
    <w:p>
      <w:pPr>
        <w:spacing w:beforeLines="50" w:line="0" w:lineRule="atLeast"/>
        <w:jc w:val="left"/>
        <w:rPr>
          <w:sz w:val="28"/>
          <w:szCs w:val="28"/>
        </w:rPr>
      </w:pPr>
    </w:p>
    <w:p>
      <w:pPr>
        <w:spacing w:beforeLines="50" w:afterLines="50" w:line="600" w:lineRule="exact"/>
        <w:jc w:val="center"/>
        <w:rPr>
          <w:rFonts w:ascii="方正小标宋简体" w:hAnsi="仿宋_GB2312" w:eastAsia="方正小标宋简体" w:cs="仿宋_GB2312"/>
          <w:color w:val="FF0000"/>
          <w:kern w:val="0"/>
          <w:sz w:val="44"/>
          <w:szCs w:val="44"/>
          <w:shd w:val="clear" w:color="auto" w:fill="FFFFFF"/>
        </w:rPr>
      </w:pPr>
    </w:p>
    <w:p>
      <w:pPr>
        <w:spacing w:beforeLines="50" w:afterLines="50" w:line="600" w:lineRule="exact"/>
        <w:jc w:val="center"/>
        <w:rPr>
          <w:rFonts w:ascii="方正小标宋简体" w:hAnsi="仿宋_GB2312" w:eastAsia="方正小标宋简体" w:cs="仿宋_GB2312"/>
          <w:color w:val="FF0000"/>
          <w:kern w:val="0"/>
          <w:sz w:val="44"/>
          <w:szCs w:val="44"/>
          <w:shd w:val="clear" w:color="auto" w:fill="FFFFFF"/>
        </w:rPr>
      </w:pPr>
    </w:p>
    <w:p>
      <w:pPr>
        <w:pStyle w:val="21"/>
        <w:numPr>
          <w:ilvl w:val="0"/>
          <w:numId w:val="2"/>
        </w:numPr>
        <w:ind w:firstLineChars="0"/>
      </w:pPr>
      <w:r>
        <w:rPr>
          <w:rFonts w:hint="eastAsia"/>
        </w:rPr>
        <w:t>基本情况</w:t>
      </w:r>
    </w:p>
    <w:p>
      <w:pPr>
        <w:pStyle w:val="23"/>
        <w:ind w:left="0" w:firstLine="643" w:firstLineChars="200"/>
      </w:pPr>
      <w:bookmarkStart w:id="0" w:name="_Toc26401549"/>
      <w:r>
        <w:rPr>
          <w:rFonts w:hint="eastAsia"/>
        </w:rPr>
        <w:t>项目概况</w:t>
      </w:r>
      <w:bookmarkEnd w:id="0"/>
    </w:p>
    <w:p>
      <w:pPr>
        <w:pStyle w:val="17"/>
        <w:numPr>
          <w:ilvl w:val="0"/>
          <w:numId w:val="3"/>
        </w:numPr>
        <w:spacing w:beforeLines="50" w:line="600" w:lineRule="exact"/>
        <w:ind w:firstLineChars="0"/>
        <w:rPr>
          <w:rFonts w:ascii="仿宋_GB2312" w:hAnsi="仿宋" w:eastAsia="仿宋_GB2312" w:cs="宋体"/>
          <w:sz w:val="32"/>
          <w:szCs w:val="32"/>
        </w:rPr>
      </w:pPr>
      <w:r>
        <w:rPr>
          <w:rFonts w:hint="eastAsia" w:ascii="仿宋_GB2312" w:hAnsi="仿宋" w:eastAsia="仿宋_GB2312" w:cs="宋体"/>
          <w:sz w:val="32"/>
          <w:szCs w:val="32"/>
        </w:rPr>
        <w:t>项目背景及立项依据</w:t>
      </w:r>
    </w:p>
    <w:p>
      <w:pPr>
        <w:spacing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推动新疆落实《国务院关于印发“十三五”深化医药卫生体制改革规划的通知》（国发﹝2016﹞78号），《“十三五”全国卫生人才发展规划》（国卫科教发﹝2017﹞8号）和《国务院办公厅关于改革完善全科医生培养与使用激励机制的意见》（国办发﹝2018﹞3号）等文件提出的卫生健康人才培养培训任务, 经住院医师规范化培训的临床医师进一步增加，全科、精神科、儿科等紧缺专科卫生健康人才进一步充实，基层医疗卫生机构医疗水平不断提升，整个卫生健康人才队伍的专业结构、城乡结构和区域分布不断优化，促进人才与卫生健康事业发展更加适应，加快构建适合我国国情的医疗卫生服务体系。</w:t>
      </w:r>
    </w:p>
    <w:p>
      <w:pPr>
        <w:spacing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项目主要内容及实施情况</w:t>
      </w:r>
    </w:p>
    <w:p>
      <w:pPr>
        <w:spacing w:beforeLines="50" w:line="600" w:lineRule="exact"/>
        <w:ind w:firstLine="645"/>
        <w:rPr>
          <w:rFonts w:ascii="仿宋_GB2312" w:hAnsi="仿宋" w:eastAsia="仿宋_GB2312" w:cs="宋体"/>
          <w:sz w:val="32"/>
          <w:szCs w:val="32"/>
        </w:rPr>
      </w:pPr>
      <w:r>
        <w:rPr>
          <w:rFonts w:hint="eastAsia" w:ascii="仿宋_GB2312" w:hAnsi="仿宋" w:eastAsia="仿宋_GB2312" w:cs="宋体"/>
          <w:sz w:val="32"/>
          <w:szCs w:val="32"/>
        </w:rPr>
        <w:t>项目的实施情况：本项目自2019年3月18日经医院党委会领导分工会议，确定了项目领导小组，明确了责任分工：</w:t>
      </w:r>
    </w:p>
    <w:p>
      <w:pPr>
        <w:spacing w:beforeLines="50" w:line="600" w:lineRule="exact"/>
        <w:ind w:firstLine="645"/>
        <w:rPr>
          <w:rFonts w:ascii="仿宋_GB2312" w:hAnsi="仿宋" w:eastAsia="仿宋_GB2312" w:cs="宋体"/>
          <w:sz w:val="32"/>
          <w:szCs w:val="32"/>
        </w:rPr>
      </w:pPr>
      <w:r>
        <w:rPr>
          <w:rFonts w:hint="eastAsia" w:ascii="仿宋_GB2312" w:hAnsi="仿宋" w:eastAsia="仿宋_GB2312" w:cs="宋体"/>
          <w:sz w:val="32"/>
          <w:szCs w:val="32"/>
        </w:rPr>
        <w:t>项目实施前根据国家卫建委下发文件，进行充分调研，制定了实施方案，项目实施过程中严格按照实施方案进行实施并及时进行监督管理，项目实施后进行及时对学员考核进行验收</w:t>
      </w:r>
      <w:bookmarkStart w:id="1" w:name="_Toc26401550"/>
      <w:r>
        <w:rPr>
          <w:rFonts w:hint="eastAsia" w:ascii="仿宋_GB2312" w:hAnsi="仿宋" w:eastAsia="仿宋_GB2312" w:cs="宋体"/>
          <w:sz w:val="32"/>
          <w:szCs w:val="32"/>
        </w:rPr>
        <w:t>。</w:t>
      </w:r>
    </w:p>
    <w:p>
      <w:pPr>
        <w:spacing w:beforeLines="50" w:line="600" w:lineRule="exact"/>
        <w:ind w:firstLine="645"/>
        <w:rPr>
          <w:rFonts w:ascii="仿宋_GB2312" w:hAnsi="仿宋" w:eastAsia="仿宋_GB2312" w:cs="宋体"/>
          <w:sz w:val="32"/>
          <w:szCs w:val="32"/>
        </w:rPr>
      </w:pPr>
      <w:r>
        <w:rPr>
          <w:rFonts w:hint="eastAsia" w:ascii="仿宋_GB2312" w:hAnsi="仿宋" w:eastAsia="仿宋_GB2312" w:cs="宋体"/>
          <w:sz w:val="32"/>
          <w:szCs w:val="32"/>
        </w:rPr>
        <w:t>（二）资金</w:t>
      </w:r>
      <w:bookmarkEnd w:id="1"/>
      <w:r>
        <w:rPr>
          <w:rFonts w:hint="eastAsia" w:ascii="仿宋_GB2312" w:hAnsi="仿宋" w:eastAsia="仿宋_GB2312" w:cs="宋体"/>
          <w:sz w:val="32"/>
          <w:szCs w:val="32"/>
        </w:rPr>
        <w:t>投入和使用情况</w:t>
      </w:r>
    </w:p>
    <w:p>
      <w:pPr>
        <w:spacing w:beforeLines="50" w:line="600" w:lineRule="exact"/>
        <w:ind w:firstLine="645"/>
        <w:rPr>
          <w:rFonts w:ascii="仿宋_GB2312" w:hAnsi="仿宋" w:eastAsia="仿宋_GB2312" w:cs="宋体"/>
          <w:sz w:val="32"/>
          <w:szCs w:val="32"/>
        </w:rPr>
      </w:pPr>
      <w:r>
        <w:rPr>
          <w:rFonts w:hint="eastAsia" w:ascii="仿宋_GB2312" w:hAnsi="仿宋" w:eastAsia="仿宋_GB2312" w:cs="宋体"/>
          <w:sz w:val="32"/>
          <w:szCs w:val="32"/>
        </w:rPr>
        <w:t>本项目总投资2194.5万元，资金来源为中央专项资金、本级部门预算125万元。</w:t>
      </w:r>
    </w:p>
    <w:p>
      <w:pPr>
        <w:spacing w:beforeLines="50" w:line="600" w:lineRule="exact"/>
        <w:ind w:firstLine="645"/>
        <w:rPr>
          <w:rFonts w:ascii="仿宋_GB2312" w:hAnsi="仿宋" w:eastAsia="仿宋_GB2312" w:cs="宋体"/>
          <w:sz w:val="32"/>
          <w:szCs w:val="32"/>
        </w:rPr>
      </w:pPr>
      <w:r>
        <w:rPr>
          <w:rFonts w:hint="eastAsia" w:ascii="仿宋_GB2312" w:hAnsi="仿宋" w:eastAsia="仿宋_GB2312" w:cs="宋体"/>
          <w:sz w:val="32"/>
          <w:szCs w:val="32"/>
        </w:rPr>
        <w:t>医疗服务与保障能力提升（卫生健康人才培养培训）专项资金的使用范围：根据自治区财政厅《关于拨付2018年中央医疗服务能力提升（卫生健康人才培养培训）补助资金的通知》（新财社【2018】141号），下达资金（专项资金名称）700.5万元，其中：住院医师规范化培训资金567万元，助理全科医生培训36万，紧缺人才培养项目（全科医生转岗培训）9万，县乡村卫生人才能力提升项目40.5万（乡镇卫生院和社区卫生服务中心骨干全科医生培训4.5万，乡镇卫生院和社区卫生服务中心临床医师36万），万名医师支援县医院48万。</w:t>
      </w:r>
    </w:p>
    <w:p>
      <w:pPr>
        <w:rPr>
          <w:rFonts w:ascii="仿宋_GB2312" w:hAnsi="仿宋" w:eastAsia="仿宋_GB2312" w:cs="宋体"/>
          <w:sz w:val="32"/>
          <w:szCs w:val="32"/>
        </w:rPr>
      </w:pPr>
      <w:r>
        <w:rPr>
          <w:rFonts w:hint="eastAsia" w:ascii="仿宋_GB2312" w:hAnsi="仿宋" w:eastAsia="仿宋_GB2312" w:cs="宋体"/>
          <w:sz w:val="32"/>
          <w:szCs w:val="32"/>
        </w:rPr>
        <w:t xml:space="preserve">    根据自治区财政厅《关于提前下达2019年中央医疗服务能力提升（卫生健康人才培养培训）补助资金预算的通知》（新财社【2018】250号），喀什地区财政局《关于提前下达2019年中央医疗服务能力提升（卫生健康人才培养培训）补助资金预算的通知》（喀地财社【2019】20号），下达资金（专项资金名称）979万元，其中：住院医师规范化培训资金951万元，助理全科医生培训28万。喀地财社〔</w:t>
      </w:r>
      <w:r>
        <w:rPr>
          <w:rFonts w:ascii="仿宋_GB2312" w:hAnsi="仿宋" w:eastAsia="仿宋_GB2312" w:cs="宋体"/>
          <w:sz w:val="32"/>
          <w:szCs w:val="32"/>
        </w:rPr>
        <w:t>2019</w:t>
      </w:r>
      <w:r>
        <w:rPr>
          <w:rFonts w:hint="eastAsia" w:ascii="仿宋_GB2312" w:hAnsi="仿宋" w:eastAsia="仿宋_GB2312" w:cs="宋体"/>
          <w:sz w:val="32"/>
          <w:szCs w:val="32"/>
        </w:rPr>
        <w:t>〕</w:t>
      </w:r>
      <w:r>
        <w:rPr>
          <w:rFonts w:ascii="仿宋_GB2312" w:hAnsi="仿宋" w:eastAsia="仿宋_GB2312" w:cs="宋体"/>
          <w:sz w:val="32"/>
          <w:szCs w:val="32"/>
        </w:rPr>
        <w:t>94</w:t>
      </w:r>
      <w:r>
        <w:rPr>
          <w:rFonts w:hint="eastAsia" w:ascii="仿宋_GB2312" w:hAnsi="仿宋" w:eastAsia="仿宋_GB2312" w:cs="宋体"/>
          <w:sz w:val="32"/>
          <w:szCs w:val="32"/>
        </w:rPr>
        <w:t>号下达</w:t>
      </w:r>
      <w:r>
        <w:rPr>
          <w:rFonts w:ascii="仿宋_GB2312" w:hAnsi="仿宋" w:eastAsia="仿宋_GB2312" w:cs="宋体"/>
          <w:sz w:val="32"/>
          <w:szCs w:val="32"/>
        </w:rPr>
        <w:t>2019</w:t>
      </w:r>
      <w:r>
        <w:rPr>
          <w:rFonts w:hint="eastAsia" w:ascii="仿宋_GB2312" w:hAnsi="仿宋" w:eastAsia="仿宋_GB2312" w:cs="宋体"/>
          <w:sz w:val="32"/>
          <w:szCs w:val="32"/>
        </w:rPr>
        <w:t>年医疗服务与保障能力提升（医疗卫生机构能力建设、卫生健康人才培养）补助资金预算</w:t>
      </w:r>
    </w:p>
    <w:p>
      <w:pPr>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根据自治区财政厅《关于拨付2019年中央医疗服务能力提升（卫生健康人才培养培训）补助资金预算的通知》（新财社【2019】74号），喀什地区财政局《关于提前下达2019年中央医疗服务能力提升（卫生健康人才培养培训）补助资金预算的通知》（喀地财社【2019】84号），下达资金（专项资金名称）366万元，其中：住院医师规范化培训资金342万元，助理全科医生培训18万，紧缺人才培养项目（全科医生转岗培训）6万，县乡村卫生人才能力提升培训项目乡镇卫生院和社区卫生服务中心骨干全科医师培养18万（由地区卫健委转移支付）。</w:t>
      </w:r>
    </w:p>
    <w:p>
      <w:pPr>
        <w:spacing w:beforeLines="50" w:line="600" w:lineRule="exact"/>
        <w:ind w:firstLine="645"/>
        <w:rPr>
          <w:rFonts w:ascii="仿宋_GB2312" w:hAnsi="仿宋" w:eastAsia="仿宋_GB2312" w:cs="宋体"/>
          <w:sz w:val="32"/>
          <w:szCs w:val="32"/>
        </w:rPr>
      </w:pPr>
      <w:r>
        <w:rPr>
          <w:rFonts w:hint="eastAsia" w:ascii="仿宋_GB2312" w:hAnsi="仿宋" w:eastAsia="仿宋_GB2312" w:cs="宋体"/>
          <w:sz w:val="32"/>
          <w:szCs w:val="32"/>
        </w:rPr>
        <w:t>喀什地区第一人民医院制定了专项资金管理办法，按照专项资金使用文件进行使用</w:t>
      </w:r>
    </w:p>
    <w:p>
      <w:pPr>
        <w:pStyle w:val="23"/>
        <w:numPr>
          <w:ilvl w:val="0"/>
          <w:numId w:val="4"/>
        </w:numPr>
      </w:pPr>
      <w:bookmarkStart w:id="2" w:name="_Toc26401551"/>
      <w:r>
        <w:rPr>
          <w:rFonts w:hint="eastAsia"/>
        </w:rPr>
        <w:t>绩效目标</w:t>
      </w:r>
      <w:bookmarkEnd w:id="2"/>
    </w:p>
    <w:p>
      <w:pPr>
        <w:spacing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总体目标为：</w:t>
      </w:r>
      <w:r>
        <w:rPr>
          <w:rFonts w:ascii="仿宋_GB2312" w:hAnsi="仿宋" w:eastAsia="仿宋_GB2312" w:cs="宋体"/>
          <w:sz w:val="32"/>
          <w:szCs w:val="32"/>
        </w:rPr>
        <w:t>推动新疆落实《国务院关于印发“十三五”深化医药卫生体制改革规划的通知》（国发﹝2016﹞78号），《“十三五”全国卫生人才发展规划》（国卫科教发﹝2017﹞8号）和《国务院办公厅关于改革完善全科医生培养与使用激励机制的意见》（国办发﹝2018﹞3号）等文件提出的卫生健康人才培养培训任务，经住院医师规范化培训的临床医师进一步增加，全科、精神科、儿科等紧缺专科卫生健康人才进一步充实，基层医疗卫生机构医疗水平不断提升，整个卫生健康人才队伍的专业结构、城乡结构和区域分布不断优化，促进人才与卫生健康事业发展更加</w:t>
      </w:r>
      <w:r>
        <w:rPr>
          <w:rFonts w:hint="eastAsia" w:ascii="仿宋_GB2312" w:hAnsi="仿宋" w:eastAsia="仿宋_GB2312" w:cs="宋体"/>
          <w:sz w:val="32"/>
          <w:szCs w:val="32"/>
        </w:rPr>
        <w:t>适应，加快构建适合我国国情的医疗卫生服务体系。</w:t>
      </w:r>
    </w:p>
    <w:p>
      <w:pPr>
        <w:spacing w:beforeLines="50" w:line="600" w:lineRule="exact"/>
        <w:rPr>
          <w:rFonts w:ascii="仿宋_GB2312" w:hAnsi="仿宋" w:eastAsia="仿宋_GB2312" w:cs="宋体"/>
          <w:color w:val="FF0000"/>
          <w:sz w:val="32"/>
          <w:szCs w:val="32"/>
        </w:rPr>
      </w:pPr>
      <w:r>
        <w:rPr>
          <w:rFonts w:hint="eastAsia" w:ascii="仿宋_GB2312" w:hAnsi="仿宋" w:eastAsia="仿宋_GB2312" w:cs="宋体"/>
          <w:sz w:val="32"/>
          <w:szCs w:val="32"/>
        </w:rPr>
        <w:t xml:space="preserve"> </w:t>
      </w:r>
      <w:r>
        <w:rPr>
          <w:rFonts w:ascii="仿宋_GB2312" w:hAnsi="仿宋" w:eastAsia="仿宋_GB2312" w:cs="宋体"/>
          <w:sz w:val="32"/>
          <w:szCs w:val="32"/>
        </w:rPr>
        <w:t xml:space="preserve">  </w:t>
      </w:r>
      <w:r>
        <w:rPr>
          <w:rFonts w:hint="eastAsia" w:ascii="仿宋_GB2312" w:hAnsi="仿宋" w:eastAsia="仿宋_GB2312" w:cs="宋体"/>
          <w:sz w:val="32"/>
          <w:szCs w:val="32"/>
        </w:rPr>
        <w:t>项目共设置</w:t>
      </w:r>
      <w:r>
        <w:rPr>
          <w:rFonts w:ascii="仿宋_GB2312" w:hAnsi="仿宋" w:eastAsia="仿宋_GB2312" w:cs="宋体"/>
          <w:sz w:val="32"/>
          <w:szCs w:val="32"/>
        </w:rPr>
        <w:t>1</w:t>
      </w:r>
      <w:r>
        <w:rPr>
          <w:rFonts w:hint="eastAsia" w:ascii="仿宋_GB2312" w:hAnsi="仿宋" w:eastAsia="仿宋_GB2312" w:cs="宋体"/>
          <w:sz w:val="32"/>
          <w:szCs w:val="32"/>
        </w:rPr>
        <w:t>级指标3个，二级指标7个，三级指标16个，绩效目标申报表详见附件1。</w:t>
      </w:r>
    </w:p>
    <w:p>
      <w:pPr>
        <w:pStyle w:val="21"/>
        <w:numPr>
          <w:ilvl w:val="0"/>
          <w:numId w:val="2"/>
        </w:numPr>
        <w:ind w:firstLineChars="0"/>
      </w:pPr>
      <w:bookmarkStart w:id="3" w:name="_Toc26401552"/>
      <w:r>
        <w:rPr>
          <w:rFonts w:hint="eastAsia"/>
        </w:rPr>
        <w:t>评价工作简述</w:t>
      </w:r>
      <w:bookmarkEnd w:id="3"/>
    </w:p>
    <w:p>
      <w:pPr>
        <w:pStyle w:val="23"/>
        <w:numPr>
          <w:ilvl w:val="0"/>
          <w:numId w:val="5"/>
        </w:numPr>
        <w:ind w:left="0" w:firstLine="643" w:firstLineChars="200"/>
      </w:pPr>
      <w:bookmarkStart w:id="4" w:name="_Toc26401553"/>
      <w:r>
        <w:rPr>
          <w:rFonts w:hint="eastAsia"/>
        </w:rPr>
        <w:t>评价目的</w:t>
      </w:r>
      <w:bookmarkEnd w:id="4"/>
    </w:p>
    <w:p>
      <w:pPr>
        <w:spacing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本次绩效评价遵循财政部《项目</w:t>
      </w:r>
      <w:r>
        <w:rPr>
          <w:rFonts w:ascii="仿宋_GB2312" w:hAnsi="仿宋" w:eastAsia="仿宋_GB2312" w:cs="宋体"/>
          <w:sz w:val="32"/>
          <w:szCs w:val="32"/>
        </w:rPr>
        <w:t>支出绩效评价管理办法》（财预〔2020〕10号）和自治区财政厅</w:t>
      </w:r>
      <w:r>
        <w:rPr>
          <w:rFonts w:hint="eastAsia" w:ascii="仿宋_GB2312" w:hAnsi="仿宋_GB2312" w:eastAsia="仿宋_GB2312" w:cs="仿宋_GB2312"/>
          <w:kern w:val="0"/>
          <w:sz w:val="32"/>
          <w:szCs w:val="32"/>
          <w:shd w:val="clear" w:color="auto" w:fill="FFFFFF"/>
        </w:rPr>
        <w:t>《自治区财政支出绩效评价管理暂行办法》（新财预〔</w:t>
      </w:r>
      <w:r>
        <w:rPr>
          <w:rFonts w:ascii="仿宋_GB2312" w:hAnsi="仿宋_GB2312" w:eastAsia="仿宋_GB2312" w:cs="仿宋_GB2312"/>
          <w:kern w:val="0"/>
          <w:sz w:val="32"/>
          <w:szCs w:val="32"/>
          <w:shd w:val="clear" w:color="auto" w:fill="FFFFFF"/>
        </w:rPr>
        <w:t>2018〕189号</w:t>
      </w:r>
      <w:r>
        <w:rPr>
          <w:rFonts w:hint="eastAsia" w:ascii="仿宋_GB2312" w:hAnsi="仿宋_GB2312" w:eastAsia="仿宋_GB2312" w:cs="仿宋_GB2312"/>
          <w:kern w:val="0"/>
          <w:sz w:val="32"/>
          <w:szCs w:val="32"/>
          <w:shd w:val="clear" w:color="auto" w:fill="FFFFFF"/>
        </w:rPr>
        <w:t>）</w:t>
      </w:r>
      <w:r>
        <w:rPr>
          <w:rFonts w:ascii="仿宋_GB2312" w:hAnsi="仿宋" w:eastAsia="仿宋_GB2312" w:cs="宋体"/>
          <w:sz w:val="32"/>
          <w:szCs w:val="32"/>
        </w:rPr>
        <w:t>等相关政策文件与规定，</w:t>
      </w:r>
      <w:r>
        <w:rPr>
          <w:rFonts w:hint="eastAsia" w:ascii="仿宋_GB2312" w:hAnsi="仿宋" w:eastAsia="仿宋_GB2312" w:cs="宋体"/>
          <w:sz w:val="32"/>
          <w:szCs w:val="32"/>
        </w:rPr>
        <w:t>旨在评价医疗服务能力提升（卫生健康人才培养培训）项目项目实施前期、过程及效果，评价财政预算资金使用的效率及效益。</w:t>
      </w:r>
      <w:r>
        <w:rPr>
          <w:rFonts w:ascii="仿宋_GB2312" w:hAnsi="仿宋" w:eastAsia="仿宋_GB2312" w:cs="宋体"/>
          <w:sz w:val="32"/>
          <w:szCs w:val="32"/>
        </w:rPr>
        <w:t>2019年住院医师规范化培训在培人员（含协同单位）包括2017、2018、2019级共456人，其中2019年住培新招录156人，比计划招生人数多23人，包括全科21人；助理全科在培人数26人，其中2019年新入培12人；全科医生转岗培训7人；乡镇卫生院、社区卫生服务中心骨干全科医生15人、临床医师36人。经统计，我院住培主基地和助理全科医生培训的240名学员中精神科10人，儿科7人，尤其是来自基层医疗卫生机构的各层级全科医生共91人（占比达38%），县乡村卫生人才培养项目全部来自于基层医疗机构，人才培养已</w:t>
      </w:r>
      <w:r>
        <w:rPr>
          <w:rFonts w:hint="eastAsia" w:ascii="仿宋_GB2312" w:hAnsi="仿宋" w:eastAsia="仿宋_GB2312" w:cs="宋体"/>
          <w:sz w:val="32"/>
          <w:szCs w:val="32"/>
        </w:rPr>
        <w:t>经进一步向乡镇卫生院倾斜，全科、精神科、儿科等紧缺人才进一步充实，经过规范培训后来自基层卫生医疗机构的全科医生执业医师资格考试（含助理）较未参加培训人员明显提高，业务水平不断提升。</w:t>
      </w:r>
    </w:p>
    <w:p>
      <w:pPr>
        <w:spacing w:beforeLines="50" w:line="600" w:lineRule="exact"/>
        <w:ind w:firstLine="640" w:firstLineChars="200"/>
        <w:rPr>
          <w:rFonts w:ascii="仿宋_GB2312" w:hAnsi="仿宋" w:eastAsia="仿宋_GB2312" w:cs="宋体"/>
          <w:sz w:val="32"/>
          <w:szCs w:val="32"/>
        </w:rPr>
      </w:pPr>
      <w:r>
        <w:rPr>
          <w:rFonts w:ascii="仿宋_GB2312" w:hAnsi="仿宋" w:eastAsia="仿宋_GB2312" w:cs="宋体"/>
          <w:sz w:val="32"/>
          <w:szCs w:val="32"/>
        </w:rPr>
        <w:t xml:space="preserve">   2019年住院医师规范化培训结业考核首考通过率虽为71%，但较2018年的55.24%显著提高，参培学员的业务水平稳步提升。县乡村卫生人才培养项目学员由各级卫健委抽派，非我院自主招收，受基层医疗人才紧缺等多因素影响存在少于计划人数、培训启动延迟等情况，导致一部分资金拨付的计划指标不能完成。</w:t>
      </w:r>
    </w:p>
    <w:p>
      <w:pPr>
        <w:pStyle w:val="23"/>
        <w:numPr>
          <w:ilvl w:val="0"/>
          <w:numId w:val="5"/>
        </w:numPr>
        <w:ind w:left="0" w:firstLine="643" w:firstLineChars="200"/>
      </w:pPr>
      <w:r>
        <w:rPr>
          <w:rFonts w:hint="eastAsia"/>
        </w:rPr>
        <w:t>本次绩效评价的对象及范围</w:t>
      </w:r>
      <w:bookmarkStart w:id="5" w:name="_Toc26401554"/>
    </w:p>
    <w:p>
      <w:pPr>
        <w:spacing w:beforeLines="50" w:line="600" w:lineRule="exact"/>
        <w:ind w:firstLine="640" w:firstLineChars="200"/>
        <w:rPr>
          <w:rFonts w:ascii="仿宋_GB2312" w:hAnsi="仿宋" w:eastAsia="仿宋_GB2312" w:cs="宋体"/>
          <w:sz w:val="32"/>
          <w:szCs w:val="32"/>
        </w:rPr>
      </w:pPr>
      <w:r>
        <w:rPr>
          <w:rFonts w:ascii="仿宋_GB2312" w:hAnsi="仿宋" w:eastAsia="仿宋_GB2312" w:cs="宋体"/>
          <w:sz w:val="32"/>
          <w:szCs w:val="32"/>
        </w:rPr>
        <w:t>本次评价对象为</w:t>
      </w:r>
      <w:r>
        <w:rPr>
          <w:rFonts w:hint="eastAsia" w:ascii="仿宋_GB2312" w:hAnsi="仿宋" w:eastAsia="仿宋_GB2312" w:cs="宋体"/>
          <w:sz w:val="32"/>
          <w:szCs w:val="32"/>
        </w:rPr>
        <w:t>医疗服务能力提升（卫生健康人才培养培训）</w:t>
      </w:r>
      <w:r>
        <w:rPr>
          <w:rFonts w:ascii="仿宋_GB2312" w:hAnsi="仿宋" w:eastAsia="仿宋_GB2312" w:cs="宋体"/>
          <w:sz w:val="32"/>
          <w:szCs w:val="32"/>
        </w:rPr>
        <w:t>项目资金，评价范围包括专项资</w:t>
      </w:r>
      <w:r>
        <w:rPr>
          <w:rFonts w:hint="eastAsia" w:ascii="仿宋_GB2312" w:hAnsi="仿宋" w:eastAsia="仿宋_GB2312" w:cs="宋体"/>
          <w:sz w:val="32"/>
          <w:szCs w:val="32"/>
        </w:rPr>
        <w:t>金的安排、组织及使用效益。</w:t>
      </w:r>
    </w:p>
    <w:p>
      <w:pPr>
        <w:pStyle w:val="23"/>
        <w:numPr>
          <w:ilvl w:val="0"/>
          <w:numId w:val="5"/>
        </w:numPr>
        <w:ind w:left="0" w:firstLine="643" w:firstLineChars="200"/>
      </w:pPr>
      <w:r>
        <w:rPr>
          <w:rFonts w:hint="eastAsia"/>
        </w:rPr>
        <w:t>绩效评价原则</w:t>
      </w:r>
      <w:bookmarkEnd w:id="5"/>
    </w:p>
    <w:p>
      <w:pPr>
        <w:spacing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本次绩效评价遵循的原则包括：</w:t>
      </w:r>
    </w:p>
    <w:p>
      <w:pPr>
        <w:pStyle w:val="23"/>
        <w:keepNext w:val="0"/>
        <w:keepLines w:val="0"/>
        <w:numPr>
          <w:ilvl w:val="1"/>
          <w:numId w:val="6"/>
        </w:numPr>
        <w:ind w:left="0" w:firstLine="640" w:firstLineChars="200"/>
        <w:rPr>
          <w:rFonts w:hAnsi="仿宋" w:cs="宋体"/>
          <w:b w:val="0"/>
        </w:rPr>
      </w:pPr>
      <w:r>
        <w:rPr>
          <w:rFonts w:hint="eastAsia" w:hAnsi="仿宋" w:cs="宋体"/>
          <w:b w:val="0"/>
        </w:rPr>
        <w:t>科学公正。绩效评价应当运用科学合理的方法，按照规范的程序，对项目绩效进行客观、公正的反映。</w:t>
      </w:r>
    </w:p>
    <w:p>
      <w:pPr>
        <w:pStyle w:val="23"/>
        <w:keepNext w:val="0"/>
        <w:keepLines w:val="0"/>
        <w:numPr>
          <w:ilvl w:val="1"/>
          <w:numId w:val="6"/>
        </w:numPr>
        <w:ind w:left="0" w:firstLine="640" w:firstLineChars="200"/>
        <w:rPr>
          <w:rFonts w:hAnsi="仿宋" w:cs="宋体"/>
          <w:b w:val="0"/>
        </w:rPr>
      </w:pPr>
      <w:r>
        <w:rPr>
          <w:rFonts w:hint="eastAsia" w:hAnsi="仿宋" w:cs="宋体"/>
          <w:b w:val="0"/>
        </w:rPr>
        <w:t>统筹兼顾。单位自评、部门评价和财政评价应职责明确，各有侧重，相互衔接。单位自评应由项目单位自主实施，即“谁支出、谁自评”。部门评价和财政评价应在单位自评的基础上开展，必要时可委托第三方机构实施。</w:t>
      </w:r>
    </w:p>
    <w:p>
      <w:pPr>
        <w:pStyle w:val="23"/>
        <w:keepNext w:val="0"/>
        <w:keepLines w:val="0"/>
        <w:numPr>
          <w:ilvl w:val="1"/>
          <w:numId w:val="6"/>
        </w:numPr>
        <w:ind w:left="0" w:firstLine="640" w:firstLineChars="200"/>
        <w:rPr>
          <w:rFonts w:hAnsi="仿宋" w:cs="宋体"/>
          <w:b w:val="0"/>
        </w:rPr>
      </w:pPr>
      <w:r>
        <w:rPr>
          <w:rFonts w:hint="eastAsia" w:hAnsi="仿宋" w:cs="宋体"/>
          <w:b w:val="0"/>
        </w:rPr>
        <w:t>激励约束。绩效评价结果应与预算安排、政策调整、改进管理实质性挂钩，体现奖优罚劣和激励相容导向，有效要安排、低效要压减、无效要问责。</w:t>
      </w:r>
    </w:p>
    <w:p>
      <w:pPr>
        <w:pStyle w:val="23"/>
        <w:keepNext w:val="0"/>
        <w:keepLines w:val="0"/>
        <w:numPr>
          <w:ilvl w:val="1"/>
          <w:numId w:val="6"/>
        </w:numPr>
        <w:ind w:left="0" w:firstLine="640" w:firstLineChars="200"/>
        <w:rPr>
          <w:b w:val="0"/>
        </w:rPr>
      </w:pPr>
      <w:r>
        <w:rPr>
          <w:rFonts w:hint="eastAsia" w:hAnsi="仿宋" w:cs="宋体"/>
          <w:b w:val="0"/>
        </w:rPr>
        <w:t>公开透明。绩效评价结果应依法依规公开，并自觉接受社会监督。</w:t>
      </w:r>
      <w:r>
        <w:rPr>
          <w:rFonts w:hint="eastAsia"/>
          <w:b w:val="0"/>
        </w:rPr>
        <w:t>绩效评价体系</w:t>
      </w:r>
    </w:p>
    <w:p>
      <w:pPr>
        <w:pStyle w:val="23"/>
        <w:numPr>
          <w:ilvl w:val="0"/>
          <w:numId w:val="5"/>
        </w:numPr>
        <w:ind w:left="0" w:firstLine="643" w:firstLineChars="200"/>
      </w:pPr>
      <w:r>
        <w:rPr>
          <w:rFonts w:hint="eastAsia"/>
        </w:rPr>
        <w:t>本项目绩效评价体系</w:t>
      </w:r>
    </w:p>
    <w:p>
      <w:pPr>
        <w:pStyle w:val="23"/>
        <w:numPr>
          <w:ilvl w:val="0"/>
          <w:numId w:val="0"/>
        </w:numPr>
        <w:ind w:firstLine="640" w:firstLineChars="200"/>
        <w:rPr>
          <w:b w:val="0"/>
        </w:rPr>
      </w:pPr>
      <w:r>
        <w:rPr>
          <w:rFonts w:hint="eastAsia"/>
          <w:b w:val="0"/>
        </w:rPr>
        <w:t>本项目绩效评价体系为根据财预</w:t>
      </w:r>
      <w:r>
        <w:rPr>
          <w:rFonts w:hint="eastAsia" w:ascii="仿宋" w:hAnsi="仿宋" w:eastAsia="仿宋"/>
          <w:b w:val="0"/>
        </w:rPr>
        <w:t>﹝</w:t>
      </w:r>
      <w:r>
        <w:rPr>
          <w:rFonts w:hint="eastAsia"/>
          <w:b w:val="0"/>
        </w:rPr>
        <w:t>2</w:t>
      </w:r>
      <w:r>
        <w:rPr>
          <w:b w:val="0"/>
        </w:rPr>
        <w:t>020</w:t>
      </w:r>
      <w:r>
        <w:rPr>
          <w:rFonts w:hint="eastAsia" w:ascii="仿宋" w:hAnsi="仿宋" w:eastAsia="仿宋"/>
          <w:b w:val="0"/>
        </w:rPr>
        <w:t>﹞</w:t>
      </w:r>
      <w:r>
        <w:rPr>
          <w:rFonts w:hint="eastAsia"/>
          <w:b w:val="0"/>
        </w:rPr>
        <w:t>1</w:t>
      </w:r>
      <w:r>
        <w:rPr>
          <w:b w:val="0"/>
        </w:rPr>
        <w:t>0</w:t>
      </w:r>
      <w:r>
        <w:rPr>
          <w:rFonts w:hint="eastAsia"/>
          <w:b w:val="0"/>
        </w:rPr>
        <w:t>号共性指标及个性化指标设置，详见附件</w:t>
      </w:r>
      <w:r>
        <w:rPr>
          <w:rFonts w:hint="eastAsia"/>
          <w:b w:val="0"/>
          <w:lang w:val="en-US" w:eastAsia="zh-CN"/>
        </w:rPr>
        <w:t>4</w:t>
      </w:r>
      <w:r>
        <w:rPr>
          <w:rFonts w:hint="eastAsia"/>
          <w:b w:val="0"/>
        </w:rPr>
        <w:t>。</w:t>
      </w:r>
    </w:p>
    <w:p>
      <w:pPr>
        <w:pStyle w:val="23"/>
        <w:keepNext w:val="0"/>
        <w:keepLines w:val="0"/>
        <w:numPr>
          <w:ilvl w:val="0"/>
          <w:numId w:val="5"/>
        </w:numPr>
        <w:ind w:left="0" w:firstLine="643" w:firstLineChars="200"/>
      </w:pPr>
      <w:bookmarkStart w:id="6" w:name="_Toc26401555"/>
      <w:r>
        <w:rPr>
          <w:rFonts w:hint="eastAsia"/>
        </w:rPr>
        <w:t>绩效评价方法</w:t>
      </w:r>
      <w:bookmarkEnd w:id="6"/>
    </w:p>
    <w:p>
      <w:pPr>
        <w:spacing w:beforeLines="50" w:line="600" w:lineRule="exact"/>
        <w:ind w:firstLine="645"/>
        <w:rPr>
          <w:rFonts w:ascii="仿宋_GB2312" w:hAnsi="仿宋" w:eastAsia="仿宋_GB2312" w:cs="宋体"/>
          <w:sz w:val="32"/>
          <w:szCs w:val="32"/>
        </w:rPr>
      </w:pPr>
      <w:r>
        <w:rPr>
          <w:rFonts w:hint="eastAsia" w:ascii="仿宋_GB2312" w:hAnsi="仿宋" w:eastAsia="仿宋_GB2312" w:cs="宋体"/>
          <w:sz w:val="32"/>
          <w:szCs w:val="32"/>
        </w:rPr>
        <w:t>本次绩效评价方法的选用坚持简便有效的原则采用因素分析法、专家评议法。</w:t>
      </w:r>
    </w:p>
    <w:p>
      <w:pPr>
        <w:pStyle w:val="23"/>
        <w:keepNext w:val="0"/>
        <w:keepLines w:val="0"/>
        <w:numPr>
          <w:ilvl w:val="0"/>
          <w:numId w:val="5"/>
        </w:numPr>
        <w:ind w:left="0" w:firstLine="643" w:firstLineChars="200"/>
      </w:pPr>
      <w:r>
        <w:rPr>
          <w:rFonts w:hint="eastAsia"/>
        </w:rPr>
        <w:t>评价标准</w:t>
      </w:r>
    </w:p>
    <w:p>
      <w:pPr>
        <w:pStyle w:val="23"/>
        <w:keepNext w:val="0"/>
        <w:keepLines w:val="0"/>
        <w:numPr>
          <w:ilvl w:val="0"/>
          <w:numId w:val="0"/>
        </w:numPr>
      </w:pPr>
      <w:r>
        <w:rPr>
          <w:rFonts w:hint="eastAsia"/>
        </w:rPr>
        <w:t xml:space="preserve"> </w:t>
      </w:r>
      <w:r>
        <w:t xml:space="preserve">   </w:t>
      </w:r>
      <w:r>
        <w:rPr>
          <w:rFonts w:hint="eastAsia"/>
        </w:rPr>
        <w:t>项目评价标准采用</w:t>
      </w:r>
      <w:r>
        <w:rPr>
          <w:rFonts w:hint="eastAsia"/>
          <w:bCs w:val="0"/>
        </w:rPr>
        <w:t>计划标准、行业标准，</w:t>
      </w:r>
      <w:r>
        <w:rPr>
          <w:rFonts w:hint="eastAsia"/>
        </w:rPr>
        <w:t>绩效评价工作过程。</w:t>
      </w:r>
    </w:p>
    <w:p>
      <w:pPr>
        <w:pStyle w:val="23"/>
        <w:keepNext w:val="0"/>
        <w:keepLines w:val="0"/>
        <w:numPr>
          <w:ilvl w:val="0"/>
          <w:numId w:val="0"/>
        </w:numPr>
        <w:ind w:firstLine="640" w:firstLineChars="200"/>
        <w:outlineLvl w:val="9"/>
        <w:rPr>
          <w:b w:val="0"/>
          <w:bCs w:val="0"/>
        </w:rPr>
      </w:pPr>
      <w:r>
        <w:rPr>
          <w:rFonts w:hint="eastAsia"/>
          <w:b w:val="0"/>
          <w:bCs w:val="0"/>
        </w:rPr>
        <w:t>本次评价成立了评价工作组，成员如下：</w:t>
      </w:r>
    </w:p>
    <w:tbl>
      <w:tblPr>
        <w:tblStyle w:val="15"/>
        <w:tblW w:w="829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65"/>
        <w:gridCol w:w="2765"/>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65" w:type="dxa"/>
            <w:vAlign w:val="center"/>
          </w:tcPr>
          <w:p>
            <w:pPr>
              <w:pStyle w:val="23"/>
              <w:keepNext w:val="0"/>
              <w:keepLines w:val="0"/>
              <w:numPr>
                <w:ilvl w:val="0"/>
                <w:numId w:val="0"/>
              </w:numPr>
              <w:spacing w:line="240" w:lineRule="atLeast"/>
              <w:jc w:val="center"/>
              <w:rPr>
                <w:b w:val="0"/>
                <w:bCs w:val="0"/>
              </w:rPr>
            </w:pPr>
            <w:r>
              <w:rPr>
                <w:rFonts w:hint="eastAsia"/>
                <w:b w:val="0"/>
                <w:bCs w:val="0"/>
              </w:rPr>
              <w:t>评价人</w:t>
            </w:r>
          </w:p>
        </w:tc>
        <w:tc>
          <w:tcPr>
            <w:tcW w:w="2765" w:type="dxa"/>
            <w:vAlign w:val="center"/>
          </w:tcPr>
          <w:p>
            <w:pPr>
              <w:pStyle w:val="23"/>
              <w:keepNext w:val="0"/>
              <w:keepLines w:val="0"/>
              <w:numPr>
                <w:ilvl w:val="0"/>
                <w:numId w:val="0"/>
              </w:numPr>
              <w:spacing w:line="240" w:lineRule="atLeast"/>
              <w:jc w:val="center"/>
              <w:rPr>
                <w:b w:val="0"/>
                <w:bCs w:val="0"/>
              </w:rPr>
            </w:pPr>
            <w:r>
              <w:rPr>
                <w:rFonts w:hint="eastAsia"/>
                <w:b w:val="0"/>
                <w:bCs w:val="0"/>
              </w:rPr>
              <w:t>职责</w:t>
            </w:r>
          </w:p>
        </w:tc>
        <w:tc>
          <w:tcPr>
            <w:tcW w:w="2766" w:type="dxa"/>
            <w:vAlign w:val="center"/>
          </w:tcPr>
          <w:p>
            <w:pPr>
              <w:pStyle w:val="23"/>
              <w:keepNext w:val="0"/>
              <w:keepLines w:val="0"/>
              <w:numPr>
                <w:ilvl w:val="0"/>
                <w:numId w:val="0"/>
              </w:numPr>
              <w:spacing w:line="240" w:lineRule="atLeast"/>
              <w:jc w:val="center"/>
              <w:rPr>
                <w:b w:val="0"/>
                <w:bCs w:val="0"/>
              </w:rPr>
            </w:pPr>
            <w:r>
              <w:rPr>
                <w:rFonts w:hint="eastAsia"/>
                <w:b w:val="0"/>
                <w:bCs w:val="0"/>
              </w:rPr>
              <w:t>职称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65" w:type="dxa"/>
            <w:vAlign w:val="center"/>
          </w:tcPr>
          <w:p>
            <w:pPr>
              <w:pStyle w:val="23"/>
              <w:keepNext w:val="0"/>
              <w:keepLines w:val="0"/>
              <w:numPr>
                <w:ilvl w:val="0"/>
                <w:numId w:val="0"/>
              </w:numPr>
              <w:spacing w:line="240" w:lineRule="atLeast"/>
              <w:jc w:val="center"/>
              <w:rPr>
                <w:b w:val="0"/>
                <w:bCs w:val="0"/>
              </w:rPr>
            </w:pPr>
            <w:r>
              <w:rPr>
                <w:rFonts w:hint="eastAsia"/>
                <w:b w:val="0"/>
                <w:bCs w:val="0"/>
              </w:rPr>
              <w:t>吴玉华</w:t>
            </w:r>
          </w:p>
        </w:tc>
        <w:tc>
          <w:tcPr>
            <w:tcW w:w="2765" w:type="dxa"/>
            <w:vAlign w:val="center"/>
          </w:tcPr>
          <w:p>
            <w:pPr>
              <w:pStyle w:val="23"/>
              <w:keepNext w:val="0"/>
              <w:keepLines w:val="0"/>
              <w:numPr>
                <w:ilvl w:val="0"/>
                <w:numId w:val="0"/>
              </w:numPr>
              <w:spacing w:line="240" w:lineRule="atLeast"/>
              <w:jc w:val="center"/>
              <w:rPr>
                <w:b w:val="0"/>
                <w:bCs w:val="0"/>
              </w:rPr>
            </w:pPr>
            <w:r>
              <w:rPr>
                <w:rFonts w:hint="eastAsia"/>
                <w:b w:val="0"/>
                <w:bCs w:val="0"/>
              </w:rPr>
              <w:t>评价组组长</w:t>
            </w:r>
          </w:p>
        </w:tc>
        <w:tc>
          <w:tcPr>
            <w:tcW w:w="2766" w:type="dxa"/>
            <w:vAlign w:val="center"/>
          </w:tcPr>
          <w:p>
            <w:pPr>
              <w:pStyle w:val="23"/>
              <w:keepNext w:val="0"/>
              <w:keepLines w:val="0"/>
              <w:numPr>
                <w:ilvl w:val="0"/>
                <w:numId w:val="0"/>
              </w:numPr>
              <w:spacing w:line="240" w:lineRule="atLeast"/>
              <w:jc w:val="center"/>
              <w:rPr>
                <w:b w:val="0"/>
                <w:bCs w:val="0"/>
              </w:rPr>
            </w:pPr>
            <w:r>
              <w:rPr>
                <w:rFonts w:hint="eastAsia"/>
                <w:b w:val="0"/>
                <w:bCs w:val="0"/>
              </w:rPr>
              <w:t>正高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65" w:type="dxa"/>
            <w:vAlign w:val="center"/>
          </w:tcPr>
          <w:p>
            <w:pPr>
              <w:pStyle w:val="23"/>
              <w:keepNext w:val="0"/>
              <w:keepLines w:val="0"/>
              <w:numPr>
                <w:ilvl w:val="0"/>
                <w:numId w:val="0"/>
              </w:numPr>
              <w:spacing w:line="240" w:lineRule="atLeast"/>
              <w:jc w:val="center"/>
              <w:rPr>
                <w:b w:val="0"/>
                <w:bCs w:val="0"/>
              </w:rPr>
            </w:pPr>
            <w:r>
              <w:rPr>
                <w:rFonts w:hint="eastAsia"/>
                <w:b w:val="0"/>
                <w:bCs w:val="0"/>
              </w:rPr>
              <w:t>王雪梅</w:t>
            </w:r>
          </w:p>
        </w:tc>
        <w:tc>
          <w:tcPr>
            <w:tcW w:w="2765" w:type="dxa"/>
            <w:vAlign w:val="center"/>
          </w:tcPr>
          <w:p>
            <w:pPr>
              <w:pStyle w:val="23"/>
              <w:keepNext w:val="0"/>
              <w:keepLines w:val="0"/>
              <w:numPr>
                <w:ilvl w:val="0"/>
                <w:numId w:val="0"/>
              </w:numPr>
              <w:spacing w:line="240" w:lineRule="atLeast"/>
              <w:jc w:val="center"/>
              <w:rPr>
                <w:b w:val="0"/>
                <w:bCs w:val="0"/>
              </w:rPr>
            </w:pPr>
            <w:r>
              <w:rPr>
                <w:rFonts w:hint="eastAsia"/>
                <w:b w:val="0"/>
                <w:bCs w:val="0"/>
              </w:rPr>
              <w:t>评价组组长</w:t>
            </w:r>
          </w:p>
        </w:tc>
        <w:tc>
          <w:tcPr>
            <w:tcW w:w="2766" w:type="dxa"/>
            <w:vAlign w:val="center"/>
          </w:tcPr>
          <w:p>
            <w:pPr>
              <w:pStyle w:val="23"/>
              <w:keepNext w:val="0"/>
              <w:keepLines w:val="0"/>
              <w:numPr>
                <w:ilvl w:val="0"/>
                <w:numId w:val="0"/>
              </w:numPr>
              <w:spacing w:line="240" w:lineRule="atLeast"/>
              <w:jc w:val="center"/>
              <w:rPr>
                <w:b w:val="0"/>
                <w:bCs w:val="0"/>
              </w:rPr>
            </w:pPr>
            <w:r>
              <w:rPr>
                <w:rFonts w:hint="eastAsia"/>
                <w:b w:val="0"/>
                <w:bCs w:val="0"/>
              </w:rPr>
              <w:t>副高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65" w:type="dxa"/>
            <w:vAlign w:val="center"/>
          </w:tcPr>
          <w:p>
            <w:pPr>
              <w:pStyle w:val="23"/>
              <w:keepNext w:val="0"/>
              <w:keepLines w:val="0"/>
              <w:numPr>
                <w:ilvl w:val="0"/>
                <w:numId w:val="0"/>
              </w:numPr>
              <w:spacing w:line="240" w:lineRule="atLeast"/>
              <w:jc w:val="center"/>
              <w:rPr>
                <w:b w:val="0"/>
                <w:bCs w:val="0"/>
              </w:rPr>
            </w:pPr>
            <w:r>
              <w:rPr>
                <w:rFonts w:hint="eastAsia"/>
                <w:b w:val="0"/>
                <w:bCs w:val="0"/>
              </w:rPr>
              <w:t>田郁景</w:t>
            </w:r>
          </w:p>
        </w:tc>
        <w:tc>
          <w:tcPr>
            <w:tcW w:w="2765" w:type="dxa"/>
            <w:vAlign w:val="center"/>
          </w:tcPr>
          <w:p>
            <w:pPr>
              <w:pStyle w:val="23"/>
              <w:keepNext w:val="0"/>
              <w:keepLines w:val="0"/>
              <w:numPr>
                <w:ilvl w:val="0"/>
                <w:numId w:val="0"/>
              </w:numPr>
              <w:spacing w:line="240" w:lineRule="atLeast"/>
              <w:jc w:val="center"/>
              <w:rPr>
                <w:b w:val="0"/>
                <w:bCs w:val="0"/>
              </w:rPr>
            </w:pPr>
            <w:r>
              <w:rPr>
                <w:rFonts w:hint="eastAsia"/>
                <w:b w:val="0"/>
                <w:bCs w:val="0"/>
              </w:rPr>
              <w:t>评价组成员</w:t>
            </w:r>
          </w:p>
        </w:tc>
        <w:tc>
          <w:tcPr>
            <w:tcW w:w="2766" w:type="dxa"/>
            <w:vAlign w:val="center"/>
          </w:tcPr>
          <w:p>
            <w:pPr>
              <w:pStyle w:val="23"/>
              <w:keepNext w:val="0"/>
              <w:keepLines w:val="0"/>
              <w:numPr>
                <w:ilvl w:val="0"/>
                <w:numId w:val="0"/>
              </w:numPr>
              <w:spacing w:line="240" w:lineRule="atLeast"/>
              <w:jc w:val="center"/>
              <w:rPr>
                <w:b w:val="0"/>
                <w:bCs w:val="0"/>
              </w:rPr>
            </w:pPr>
            <w:r>
              <w:rPr>
                <w:rFonts w:hint="eastAsia"/>
                <w:b w:val="0"/>
                <w:bCs w:val="0"/>
              </w:rPr>
              <w:t>会计师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65" w:type="dxa"/>
            <w:vAlign w:val="center"/>
          </w:tcPr>
          <w:p>
            <w:pPr>
              <w:pStyle w:val="23"/>
              <w:keepNext w:val="0"/>
              <w:keepLines w:val="0"/>
              <w:numPr>
                <w:ilvl w:val="0"/>
                <w:numId w:val="0"/>
              </w:numPr>
              <w:spacing w:line="240" w:lineRule="atLeast"/>
              <w:jc w:val="center"/>
              <w:rPr>
                <w:b w:val="0"/>
                <w:bCs w:val="0"/>
              </w:rPr>
            </w:pPr>
            <w:r>
              <w:rPr>
                <w:rFonts w:hint="eastAsia"/>
                <w:b w:val="0"/>
                <w:bCs w:val="0"/>
              </w:rPr>
              <w:t>李亚妮</w:t>
            </w:r>
          </w:p>
        </w:tc>
        <w:tc>
          <w:tcPr>
            <w:tcW w:w="2765" w:type="dxa"/>
            <w:vAlign w:val="center"/>
          </w:tcPr>
          <w:p>
            <w:pPr>
              <w:pStyle w:val="23"/>
              <w:keepNext w:val="0"/>
              <w:keepLines w:val="0"/>
              <w:numPr>
                <w:ilvl w:val="0"/>
                <w:numId w:val="0"/>
              </w:numPr>
              <w:spacing w:line="240" w:lineRule="atLeast"/>
              <w:jc w:val="center"/>
              <w:rPr>
                <w:b w:val="0"/>
                <w:bCs w:val="0"/>
              </w:rPr>
            </w:pPr>
            <w:r>
              <w:rPr>
                <w:rFonts w:hint="eastAsia"/>
                <w:b w:val="0"/>
                <w:bCs w:val="0"/>
              </w:rPr>
              <w:t>评价组成员</w:t>
            </w:r>
          </w:p>
        </w:tc>
        <w:tc>
          <w:tcPr>
            <w:tcW w:w="2766" w:type="dxa"/>
            <w:vAlign w:val="center"/>
          </w:tcPr>
          <w:p>
            <w:pPr>
              <w:pStyle w:val="23"/>
              <w:keepNext w:val="0"/>
              <w:keepLines w:val="0"/>
              <w:numPr>
                <w:ilvl w:val="0"/>
                <w:numId w:val="0"/>
              </w:numPr>
              <w:spacing w:line="240" w:lineRule="atLeast"/>
              <w:jc w:val="center"/>
              <w:rPr>
                <w:b w:val="0"/>
                <w:bCs w:val="0"/>
              </w:rPr>
            </w:pPr>
            <w:r>
              <w:rPr>
                <w:rFonts w:hint="eastAsia"/>
                <w:b w:val="0"/>
                <w:bCs w:val="0"/>
              </w:rPr>
              <w:t>会计师</w:t>
            </w:r>
          </w:p>
        </w:tc>
      </w:tr>
    </w:tbl>
    <w:p>
      <w:pPr>
        <w:pStyle w:val="23"/>
        <w:keepNext w:val="0"/>
        <w:keepLines w:val="0"/>
        <w:numPr>
          <w:ilvl w:val="0"/>
          <w:numId w:val="0"/>
        </w:numPr>
        <w:ind w:firstLine="640" w:firstLineChars="200"/>
        <w:outlineLvl w:val="9"/>
        <w:rPr>
          <w:b w:val="0"/>
          <w:bCs w:val="0"/>
        </w:rPr>
      </w:pPr>
      <w:r>
        <w:rPr>
          <w:rFonts w:hint="eastAsia"/>
          <w:b w:val="0"/>
          <w:bCs w:val="0"/>
        </w:rPr>
        <w:t>本次评价设计了评价方案、评价指标体系，通过资料分析、调研、访谈满意度调查等方式形成评价结论，在与项目单位沟通后确定评价意见，并出具评价报告。　</w:t>
      </w:r>
    </w:p>
    <w:p>
      <w:pPr>
        <w:pStyle w:val="21"/>
        <w:numPr>
          <w:ilvl w:val="0"/>
          <w:numId w:val="2"/>
        </w:numPr>
        <w:ind w:firstLineChars="0"/>
        <w:rPr>
          <w:color w:val="FF0000"/>
        </w:rPr>
      </w:pPr>
      <w:bookmarkStart w:id="7" w:name="_Toc26401558"/>
      <w:r>
        <w:rPr>
          <w:rFonts w:hint="eastAsia" w:ascii="黑体" w:hAnsi="黑体"/>
        </w:rPr>
        <w:t>综合评价情况及评价结论</w:t>
      </w:r>
    </w:p>
    <w:p>
      <w:pPr>
        <w:pStyle w:val="21"/>
        <w:ind w:firstLine="640"/>
        <w:rPr>
          <w:rFonts w:ascii="仿宋_GB2312" w:eastAsia="仿宋_GB2312" w:hAnsiTheme="majorHAnsi"/>
          <w:b w:val="0"/>
          <w:bCs w:val="0"/>
          <w:kern w:val="2"/>
        </w:rPr>
      </w:pPr>
      <w:r>
        <w:rPr>
          <w:rFonts w:hint="eastAsia" w:ascii="仿宋_GB2312" w:eastAsia="仿宋_GB2312" w:hAnsiTheme="majorHAnsi"/>
          <w:b w:val="0"/>
          <w:bCs w:val="0"/>
          <w:kern w:val="2"/>
        </w:rPr>
        <w:t>经评价组通过实地调研、资料分析等方式，采用综合分析法、成本效益分析法、最低成本法、标杆管理法</w:t>
      </w:r>
      <w:bookmarkStart w:id="8" w:name="_GoBack"/>
      <w:bookmarkEnd w:id="8"/>
      <w:r>
        <w:rPr>
          <w:rFonts w:hint="eastAsia" w:ascii="仿宋_GB2312" w:eastAsia="仿宋_GB2312" w:hAnsiTheme="majorHAnsi"/>
          <w:b w:val="0"/>
          <w:bCs w:val="0"/>
          <w:kern w:val="2"/>
        </w:rPr>
        <w:t>对项目的决策、管理、绩效进行的综合评价分析，项目得分为89.83分，评价结果为优。详见附件</w:t>
      </w:r>
      <w:r>
        <w:rPr>
          <w:rFonts w:hint="eastAsia" w:ascii="仿宋_GB2312" w:eastAsia="仿宋_GB2312" w:hAnsiTheme="majorHAnsi"/>
          <w:b w:val="0"/>
          <w:bCs w:val="0"/>
          <w:kern w:val="2"/>
          <w:lang w:val="en-US" w:eastAsia="zh-CN"/>
        </w:rPr>
        <w:t>6</w:t>
      </w:r>
      <w:r>
        <w:rPr>
          <w:rFonts w:hint="eastAsia" w:ascii="仿宋_GB2312" w:eastAsia="仿宋_GB2312" w:hAnsiTheme="majorHAnsi"/>
          <w:b w:val="0"/>
          <w:bCs w:val="0"/>
          <w:kern w:val="2"/>
        </w:rPr>
        <w:t>。</w:t>
      </w:r>
    </w:p>
    <w:p>
      <w:pPr>
        <w:pStyle w:val="21"/>
        <w:numPr>
          <w:ilvl w:val="0"/>
          <w:numId w:val="2"/>
        </w:numPr>
        <w:ind w:firstLineChars="0"/>
      </w:pPr>
      <w:r>
        <w:rPr>
          <w:rFonts w:hint="eastAsia"/>
        </w:rPr>
        <w:t>绩效评价指标分析</w:t>
      </w:r>
      <w:bookmarkEnd w:id="7"/>
    </w:p>
    <w:p>
      <w:pPr>
        <w:pStyle w:val="17"/>
        <w:numPr>
          <w:ilvl w:val="0"/>
          <w:numId w:val="7"/>
        </w:numPr>
        <w:spacing w:beforeLines="50" w:line="600" w:lineRule="exact"/>
        <w:ind w:left="0" w:firstLine="643"/>
        <w:rPr>
          <w:rFonts w:ascii="仿宋_GB2312" w:hAnsi="仿宋" w:eastAsia="仿宋_GB2312" w:cs="宋体"/>
          <w:b/>
          <w:bCs/>
          <w:sz w:val="32"/>
          <w:szCs w:val="32"/>
        </w:rPr>
      </w:pPr>
      <w:r>
        <w:rPr>
          <w:rFonts w:hint="eastAsia" w:ascii="仿宋_GB2312" w:hAnsi="仿宋" w:eastAsia="仿宋_GB2312" w:cs="宋体"/>
          <w:b/>
          <w:bCs/>
          <w:sz w:val="32"/>
          <w:szCs w:val="32"/>
        </w:rPr>
        <w:t>项目的决策情况</w:t>
      </w:r>
    </w:p>
    <w:p>
      <w:pPr>
        <w:pStyle w:val="26"/>
        <w:ind w:firstLine="640"/>
        <w:rPr>
          <w:rFonts w:ascii="仿宋_GB2312" w:hAnsi="仿宋" w:cs="宋体"/>
          <w:sz w:val="32"/>
          <w:szCs w:val="32"/>
        </w:rPr>
      </w:pPr>
      <w:r>
        <w:rPr>
          <w:rFonts w:hint="eastAsia" w:ascii="仿宋_GB2312" w:hAnsi="仿宋" w:cs="宋体"/>
          <w:sz w:val="32"/>
          <w:szCs w:val="32"/>
        </w:rPr>
        <w:t>本项目的立项符合相关法规政策及部门职责，依据充分；项目按照规定的程序申请设立；审批文件、材料符合相关要求；项目前期已经过必要的可行性研究、专家论证、绩效评估、集体决策。</w:t>
      </w:r>
    </w:p>
    <w:p>
      <w:pPr>
        <w:spacing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项目根据相关文件要求设置了绩效目标，项目绩效目标基本合理，与实际工作内容相关；项目预期产出效益和效果符合正常的业绩水平；与预算确定的项目投资额或资金量相匹配。将项目绩效目标细化分解为具体的绩效指标；通过清晰、可衡量的指标值予以体现；与项目目标任务数或计划数相对应。</w:t>
      </w:r>
    </w:p>
    <w:p>
      <w:pPr>
        <w:spacing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项目在资金投入方面，预算编制经过科学论证、有明确标准，资金额度与年度目标相适应，用以反映和考核项目预算编制的科学性、合理性情况。项目预算资金分配有测算依据，与补助单位或地方实际相适应。</w:t>
      </w:r>
    </w:p>
    <w:p>
      <w:pPr>
        <w:pStyle w:val="17"/>
        <w:numPr>
          <w:ilvl w:val="0"/>
          <w:numId w:val="7"/>
        </w:numPr>
        <w:spacing w:beforeLines="50" w:line="600" w:lineRule="exact"/>
        <w:ind w:left="0" w:firstLine="643"/>
        <w:rPr>
          <w:rFonts w:ascii="仿宋_GB2312" w:hAnsi="仿宋" w:eastAsia="仿宋_GB2312" w:cs="宋体"/>
          <w:b/>
          <w:bCs/>
          <w:sz w:val="32"/>
          <w:szCs w:val="32"/>
        </w:rPr>
      </w:pPr>
      <w:r>
        <w:rPr>
          <w:rFonts w:hint="eastAsia" w:ascii="仿宋_GB2312" w:hAnsi="仿宋" w:eastAsia="仿宋_GB2312" w:cs="宋体"/>
          <w:b/>
          <w:bCs/>
          <w:sz w:val="32"/>
          <w:szCs w:val="32"/>
        </w:rPr>
        <w:t>项目的过程情况</w:t>
      </w:r>
    </w:p>
    <w:p>
      <w:pPr>
        <w:spacing w:line="500" w:lineRule="exact"/>
        <w:ind w:firstLine="645"/>
        <w:rPr>
          <w:rFonts w:ascii="仿宋_GB2312" w:hAnsi="仿宋" w:eastAsia="仿宋_GB2312" w:cs="宋体"/>
          <w:sz w:val="32"/>
          <w:szCs w:val="32"/>
        </w:rPr>
      </w:pPr>
      <w:r>
        <w:rPr>
          <w:rFonts w:hint="eastAsia" w:ascii="仿宋_GB2312" w:hAnsi="仿宋" w:eastAsia="仿宋_GB2312" w:cs="宋体"/>
          <w:sz w:val="32"/>
          <w:szCs w:val="32"/>
        </w:rPr>
        <w:t>在资金管理方面，项目资金到位足额及时，及时支付，资金使用符合国家法规和财务管理制度；资金拨付有完整的审批程序和手续，符合项目预算批复或合同规定的用途；不存在截留、挤占、挪用、虚列支出等情况。</w:t>
      </w:r>
    </w:p>
    <w:p>
      <w:pPr>
        <w:spacing w:line="500" w:lineRule="exact"/>
        <w:ind w:firstLine="645"/>
        <w:rPr>
          <w:rFonts w:ascii="仿宋_GB2312" w:hAnsi="仿宋" w:eastAsia="仿宋_GB2312" w:cs="宋体"/>
          <w:sz w:val="32"/>
          <w:szCs w:val="32"/>
        </w:rPr>
      </w:pPr>
      <w:r>
        <w:rPr>
          <w:rFonts w:hint="eastAsia" w:ascii="仿宋_GB2312" w:hAnsi="仿宋" w:eastAsia="仿宋_GB2312" w:cs="宋体"/>
          <w:sz w:val="32"/>
          <w:szCs w:val="32"/>
        </w:rPr>
        <w:t>在项目组织实施方面，本单位已制定相应的财务和业务管理制度，财务和业务管理制度合法、合规、完整。项目实施遵守相关法律法规和相关管理规定。</w:t>
      </w:r>
    </w:p>
    <w:p>
      <w:pPr>
        <w:spacing w:line="500" w:lineRule="exact"/>
        <w:ind w:firstLine="645"/>
        <w:rPr>
          <w:rFonts w:ascii="仿宋_GB2312" w:hAnsi="仿宋" w:eastAsia="仿宋_GB2312" w:cs="宋体"/>
          <w:sz w:val="32"/>
          <w:szCs w:val="32"/>
        </w:rPr>
      </w:pPr>
      <w:r>
        <w:rPr>
          <w:rFonts w:hint="eastAsia" w:ascii="仿宋_GB2312" w:hAnsi="仿宋" w:eastAsia="仿宋_GB2312" w:cs="宋体"/>
          <w:sz w:val="32"/>
          <w:szCs w:val="32"/>
        </w:rPr>
        <w:t>项目调整及支出调整手续完备，项目合同书、验收报告、技术鉴定等资料齐全并及时归档，项目实施的人员条件、场地设备、信息支撑等是否落实到位。</w:t>
      </w:r>
    </w:p>
    <w:p>
      <w:pPr>
        <w:pStyle w:val="17"/>
        <w:numPr>
          <w:ilvl w:val="0"/>
          <w:numId w:val="7"/>
        </w:numPr>
        <w:spacing w:beforeLines="50" w:line="600" w:lineRule="exact"/>
        <w:ind w:left="0" w:firstLine="643"/>
        <w:rPr>
          <w:rFonts w:ascii="仿宋_GB2312" w:hAnsi="仿宋" w:eastAsia="仿宋_GB2312" w:cs="宋体"/>
          <w:b/>
          <w:bCs/>
          <w:sz w:val="32"/>
          <w:szCs w:val="32"/>
        </w:rPr>
      </w:pPr>
      <w:r>
        <w:rPr>
          <w:rFonts w:hint="eastAsia" w:ascii="仿宋_GB2312" w:hAnsi="仿宋" w:eastAsia="仿宋_GB2312" w:cs="宋体"/>
          <w:b/>
          <w:bCs/>
          <w:sz w:val="32"/>
          <w:szCs w:val="32"/>
        </w:rPr>
        <w:t>项目产出情况</w:t>
      </w:r>
    </w:p>
    <w:p>
      <w:pPr>
        <w:spacing w:line="600" w:lineRule="exact"/>
        <w:ind w:firstLine="640" w:firstLineChars="200"/>
        <w:rPr>
          <w:rFonts w:ascii="仿宋_GB2312" w:hAnsi="仿宋" w:eastAsia="仿宋_GB2312" w:cs="宋体"/>
          <w:sz w:val="32"/>
          <w:szCs w:val="32"/>
        </w:rPr>
      </w:pPr>
      <w:r>
        <w:rPr>
          <w:rFonts w:hint="eastAsia" w:ascii="仿宋_GB2312" w:eastAsia="仿宋_GB2312"/>
          <w:sz w:val="32"/>
          <w:szCs w:val="32"/>
        </w:rPr>
        <w:t>项目产</w:t>
      </w:r>
      <w:r>
        <w:rPr>
          <w:rFonts w:hint="eastAsia" w:ascii="仿宋_GB2312" w:hAnsi="仿宋" w:eastAsia="仿宋_GB2312" w:cs="宋体"/>
          <w:sz w:val="32"/>
          <w:szCs w:val="32"/>
        </w:rPr>
        <w:t>出数量为：①住院医师规范化培训在培人数，预期指标414人，实际完成值456人，指标完成率是100%，达成年度指标。</w:t>
      </w:r>
    </w:p>
    <w:p>
      <w:pPr>
        <w:spacing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②助理全科医生培训在培人数，预期指标14人，实际完成值26人，指标完成率是100%，达成年度指标。</w:t>
      </w:r>
    </w:p>
    <w:p>
      <w:pPr>
        <w:spacing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③紧缺人才培训在培人数（全科医生转岗培训），预期指标15人（2018年9人、2019年6人），实际完成值7人，指标完成率47%，未达成年度指标且效果较差。</w:t>
      </w:r>
    </w:p>
    <w:p>
      <w:pPr>
        <w:spacing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原因在于：2018年预期指标9人，但实际只报到培训1人，此非我院自主招收学员，而是由地区及各县卫健委自各乡镇和社区基层医疗机构招收学员，受各基层医疗机构人才紧缺影响未能完成招收计划。</w:t>
      </w:r>
    </w:p>
    <w:p>
      <w:pPr>
        <w:spacing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④县乡村卫生人才能力提升培训之乡镇卫生院和社区卫生服务中心骨干全科医师培训在培人数：预期指标28人（2018年），实际完成值39人（2018年12月地区卫健委指派学员报到，培训跨度至2019年3月、11月结束）； 2019年12月底接收喀什地区卫健委指派12名乡镇卫生院和社区卫生服务中心骨干全科医师培训学员，培训将跨度至2020年12月结束。指标完成率是100%，达成年度指标。</w:t>
      </w:r>
    </w:p>
    <w:p>
      <w:pPr>
        <w:pStyle w:val="4"/>
        <w:rPr>
          <w:rFonts w:ascii="仿宋_GB2312" w:hAnsi="仿宋" w:eastAsia="仿宋_GB2312" w:cs="宋体"/>
          <w:b w:val="0"/>
          <w:bCs w:val="0"/>
        </w:rPr>
      </w:pPr>
      <w:r>
        <w:rPr>
          <w:rFonts w:ascii="仿宋_GB2312" w:hAnsi="仿宋" w:eastAsia="仿宋_GB2312" w:cs="宋体"/>
          <w:b w:val="0"/>
          <w:bCs w:val="0"/>
        </w:rPr>
        <w:tab/>
      </w:r>
      <w:r>
        <w:rPr>
          <w:rFonts w:ascii="仿宋_GB2312" w:hAnsi="仿宋" w:eastAsia="仿宋_GB2312" w:cs="宋体"/>
          <w:b w:val="0"/>
          <w:bCs w:val="0"/>
        </w:rPr>
        <w:t xml:space="preserve"> </w:t>
      </w:r>
      <w:r>
        <w:rPr>
          <w:rFonts w:hint="eastAsia" w:ascii="仿宋_GB2312" w:hAnsi="仿宋" w:eastAsia="仿宋_GB2312" w:cs="宋体"/>
          <w:b w:val="0"/>
          <w:bCs w:val="0"/>
        </w:rPr>
        <w:t>数量指标共计4个，3个达到预期目标</w:t>
      </w:r>
      <w:r>
        <w:rPr>
          <w:rFonts w:ascii="仿宋_GB2312" w:hAnsi="仿宋" w:eastAsia="仿宋_GB2312" w:cs="宋体"/>
          <w:b w:val="0"/>
          <w:bCs w:val="0"/>
        </w:rPr>
        <w:t>，1</w:t>
      </w:r>
      <w:r>
        <w:rPr>
          <w:rFonts w:hint="eastAsia" w:ascii="仿宋_GB2312" w:hAnsi="仿宋" w:eastAsia="仿宋_GB2312" w:cs="宋体"/>
          <w:b w:val="0"/>
          <w:bCs w:val="0"/>
        </w:rPr>
        <w:t>个未达到预期目标即紧缺人才培训人数（全科医生转岗培训），因此项目由地区及各县卫健委负责招收学员参加培训，非我院自主招生，受各基层医疗机构人才紧缺影响未能完成招收计划。</w:t>
      </w:r>
    </w:p>
    <w:p>
      <w:pPr>
        <w:spacing w:line="600" w:lineRule="exact"/>
        <w:ind w:firstLine="640" w:firstLineChars="200"/>
        <w:rPr>
          <w:rFonts w:ascii="仿宋_GB2312" w:hAnsi="仿宋" w:eastAsia="仿宋_GB2312" w:cs="宋体"/>
          <w:sz w:val="32"/>
          <w:szCs w:val="32"/>
        </w:rPr>
      </w:pPr>
      <w:r>
        <w:rPr>
          <w:rFonts w:hint="eastAsia" w:ascii="仿宋_GB2312" w:eastAsia="仿宋_GB2312"/>
          <w:sz w:val="32"/>
          <w:szCs w:val="32"/>
        </w:rPr>
        <w:t>项目</w:t>
      </w:r>
      <w:r>
        <w:rPr>
          <w:rFonts w:hint="eastAsia" w:ascii="仿宋_GB2312" w:hAnsi="仿宋" w:eastAsia="仿宋_GB2312" w:cs="宋体"/>
          <w:sz w:val="32"/>
          <w:szCs w:val="32"/>
        </w:rPr>
        <w:t>产出质量为①住院医师规范化培训结业考核首考通过率：预期指标≥80%，实际完成值：71%，部分达成年度指标并具有一定效果.</w:t>
      </w:r>
    </w:p>
    <w:p>
      <w:pPr>
        <w:spacing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主要原因在于：师生多方面因素导致培训质量不够高：学员基本为本地生源，语言理解与书写、医学知识基础相对较低、学习主动性和效果不高；师资的带教能力不高。</w:t>
      </w:r>
    </w:p>
    <w:p>
      <w:pPr>
        <w:spacing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改进措施：严抓招生质量关，加强国语言培训，强化培训过程质量控制与管理，加快加强师资队伍建设，多举措切实提高培训质量。</w:t>
      </w:r>
    </w:p>
    <w:p>
      <w:pPr>
        <w:spacing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②助理全科医生培训结业考核首考通过率：预期指标≥70%，实际完成值：85.7%，指标完成率是100%，达成年度指标。</w:t>
      </w:r>
    </w:p>
    <w:p>
      <w:pPr>
        <w:spacing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③、所有卫生健康人才培养培训项目招生率：预期指标≥80%，实际完成值：87%，达成年度指标。</w:t>
      </w:r>
    </w:p>
    <w:p>
      <w:pPr>
        <w:spacing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质量指标共计3个，2个达到预期目标，1个未达到预期目标即住院医师规范化培训结业考核首考通过率，后期采取措施：严抓招生质量关，与喀什大学联合加强住培学员国语言培训，强化学员的培训过程质量控制与管理，加快加强师资队伍建设以改善带教理念、提高教学水平，多举措切实提高培训质量。</w:t>
      </w:r>
    </w:p>
    <w:p>
      <w:pPr>
        <w:spacing w:beforeLines="50" w:line="600" w:lineRule="exact"/>
        <w:ind w:firstLine="660"/>
        <w:rPr>
          <w:rFonts w:ascii="仿宋_GB2312" w:hAnsi="仿宋" w:eastAsia="仿宋_GB2312" w:cs="宋体"/>
          <w:sz w:val="32"/>
          <w:szCs w:val="32"/>
        </w:rPr>
      </w:pPr>
      <w:r>
        <w:rPr>
          <w:rFonts w:hint="eastAsia" w:ascii="仿宋_GB2312" w:hAnsi="仿宋" w:eastAsia="仿宋_GB2312" w:cs="宋体"/>
          <w:sz w:val="32"/>
          <w:szCs w:val="32"/>
        </w:rPr>
        <w:t>项目产出时效为：学员补助发放及时性（≥</w:t>
      </w:r>
      <w:r>
        <w:rPr>
          <w:rFonts w:ascii="仿宋_GB2312" w:hAnsi="仿宋" w:eastAsia="仿宋_GB2312" w:cs="宋体"/>
          <w:sz w:val="32"/>
          <w:szCs w:val="32"/>
        </w:rPr>
        <w:t>*%）</w:t>
      </w:r>
      <w:r>
        <w:rPr>
          <w:rFonts w:hint="eastAsia" w:ascii="仿宋_GB2312" w:hAnsi="仿宋" w:eastAsia="仿宋_GB2312" w:cs="宋体"/>
          <w:sz w:val="32"/>
          <w:szCs w:val="32"/>
        </w:rPr>
        <w:t>，预期指标值为80%，实际完成值为80%，达到预期目标。</w:t>
      </w:r>
    </w:p>
    <w:p>
      <w:pPr>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项目产出成本指标为：①住院医师（含专科医师）规范化培训中央财政补助标准：预期指标是3万元/人/年，实际完成值是3万元/人/年，指标完成率是100%，达成年度指标。</w:t>
      </w:r>
    </w:p>
    <w:p>
      <w:pPr>
        <w:ind w:firstLine="640" w:firstLineChars="200"/>
        <w:rPr>
          <w:rFonts w:ascii="仿宋_GB2312" w:hAnsi="仿宋" w:eastAsia="仿宋_GB2312" w:cs="宋体"/>
          <w:sz w:val="32"/>
          <w:szCs w:val="32"/>
        </w:rPr>
      </w:pPr>
      <w:r>
        <w:rPr>
          <w:rFonts w:hint="eastAsia" w:ascii="仿宋_GB2312" w:hAnsi="仿宋" w:eastAsia="仿宋_GB2312" w:cs="宋体"/>
          <w:sz w:val="32"/>
          <w:szCs w:val="32"/>
        </w:rPr>
        <w:t>②助理全科医生培训中央财政补助标准：预期指标是2万元/人/年，实际完成值是1.96万元/人/年，指标完成率是98.17%，达成年度指标。</w:t>
      </w:r>
    </w:p>
    <w:p>
      <w:pPr>
        <w:ind w:firstLine="640" w:firstLineChars="200"/>
        <w:rPr>
          <w:rFonts w:ascii="仿宋_GB2312" w:hAnsi="仿宋" w:eastAsia="仿宋_GB2312" w:cs="宋体"/>
          <w:sz w:val="32"/>
          <w:szCs w:val="32"/>
        </w:rPr>
      </w:pPr>
      <w:r>
        <w:rPr>
          <w:rFonts w:hint="eastAsia" w:ascii="仿宋_GB2312" w:hAnsi="仿宋" w:eastAsia="仿宋_GB2312" w:cs="宋体"/>
          <w:sz w:val="32"/>
          <w:szCs w:val="32"/>
        </w:rPr>
        <w:t>③全科医生转岗培训中央财政补助标准：实践培训预期指标是1万元/人/年，按实际参培人数7人来计算实际完成值是0.37万元/人/年，指标完成率是37.43%，未达成年度指标且效果较差。</w:t>
      </w:r>
    </w:p>
    <w:p>
      <w:pPr>
        <w:ind w:firstLine="640" w:firstLineChars="200"/>
        <w:rPr>
          <w:rFonts w:ascii="仿宋_GB2312" w:hAnsi="仿宋" w:eastAsia="仿宋_GB2312" w:cs="宋体"/>
          <w:sz w:val="32"/>
          <w:szCs w:val="32"/>
        </w:rPr>
      </w:pPr>
      <w:r>
        <w:rPr>
          <w:rFonts w:hint="eastAsia" w:ascii="仿宋_GB2312" w:hAnsi="仿宋" w:eastAsia="仿宋_GB2312" w:cs="宋体"/>
          <w:sz w:val="32"/>
          <w:szCs w:val="32"/>
        </w:rPr>
        <w:t>原因在于：一是2018年预期指标9人，但实际只有1人于2018年12月报到参加培训，此非我院自主招收学员，而是由地区及各县卫健委自各乡镇和社区基层医疗机构招收学员，受各基层医疗机构人才紧缺影响未能完成招收计划。 二是此项培训启动时间晚，2019级学员于2019年12月26日左右才来院报到开始临床实践培训，而资金使用是跟随其培训进度执行的，故完成值较低。</w:t>
      </w:r>
      <w:r>
        <w:rPr>
          <w:rFonts w:ascii="仿宋_GB2312" w:hAnsi="仿宋" w:eastAsia="仿宋_GB2312" w:cs="宋体"/>
          <w:sz w:val="32"/>
          <w:szCs w:val="32"/>
        </w:rPr>
        <w:t xml:space="preserve">      </w:t>
      </w:r>
    </w:p>
    <w:p>
      <w:pPr>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改进措施：各级卫健委根据全科医生培养目标，结合基层医疗机构人员结构合理制定全科医生转岗培训年度招收计划，确保应派尽派、能派尽派，建议能改在年中启动此项培训。</w:t>
      </w:r>
    </w:p>
    <w:p>
      <w:pPr>
        <w:ind w:firstLine="640" w:firstLineChars="200"/>
        <w:rPr>
          <w:rFonts w:ascii="仿宋_GB2312" w:hAnsi="仿宋" w:eastAsia="仿宋_GB2312" w:cs="宋体"/>
          <w:sz w:val="32"/>
          <w:szCs w:val="32"/>
        </w:rPr>
      </w:pPr>
      <w:r>
        <w:rPr>
          <w:rFonts w:hint="eastAsia" w:ascii="仿宋_GB2312" w:hAnsi="仿宋" w:eastAsia="仿宋_GB2312" w:cs="宋体"/>
          <w:sz w:val="32"/>
          <w:szCs w:val="32"/>
        </w:rPr>
        <w:t>④乡镇卫生院和社区卫生服务中心骨干全科医生培训中央财政补助标准：预期指标是1.5万元/人/年，实际完成值是0.58万元/人/年，指标完成率是36.36%，未达成年度指标且效果较差。原因在于：2018年骨干全科医师2人于2019年11月培训结束，1人半年后因病退出。2019年骨干全科医师培训12人于12月31日报到，实际培训开始于2020年1月，因培训启动延迟，故资金完成率随培训进度而滞后。</w:t>
      </w:r>
    </w:p>
    <w:p>
      <w:pPr>
        <w:ind w:firstLine="640" w:firstLineChars="200"/>
        <w:rPr>
          <w:rFonts w:ascii="仿宋_GB2312" w:hAnsi="仿宋" w:eastAsia="仿宋_GB2312" w:cs="宋体"/>
          <w:sz w:val="32"/>
          <w:szCs w:val="32"/>
        </w:rPr>
      </w:pPr>
      <w:r>
        <w:rPr>
          <w:rFonts w:hint="eastAsia" w:ascii="仿宋_GB2312" w:hAnsi="仿宋" w:eastAsia="仿宋_GB2312" w:cs="宋体"/>
          <w:sz w:val="32"/>
          <w:szCs w:val="32"/>
        </w:rPr>
        <w:t xml:space="preserve">    改进措施：建议各级卫健委能在上半年完成培训项目的招收工作，尽量能在年中启动此项培训。</w:t>
      </w:r>
    </w:p>
    <w:p>
      <w:pPr>
        <w:ind w:firstLine="640" w:firstLineChars="200"/>
        <w:rPr>
          <w:rFonts w:ascii="仿宋_GB2312" w:hAnsi="仿宋" w:eastAsia="仿宋_GB2312" w:cs="宋体"/>
          <w:sz w:val="32"/>
          <w:szCs w:val="32"/>
        </w:rPr>
      </w:pPr>
      <w:r>
        <w:rPr>
          <w:rFonts w:hint="eastAsia" w:ascii="仿宋_GB2312" w:hAnsi="仿宋" w:eastAsia="仿宋_GB2312" w:cs="宋体"/>
          <w:sz w:val="32"/>
          <w:szCs w:val="32"/>
        </w:rPr>
        <w:t>⑤乡镇卫生院和社区卫生服务中心临床医师标准：预期指标是120元∕人∕天，实际完成值是120元/人/天，指标完成率是100%。</w:t>
      </w:r>
    </w:p>
    <w:p>
      <w:pPr>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成本指标共计5个，3个达到预期目标，2个未达到预期目标，即全科医生转岗培训中央财政补助、乡镇卫生院和社区卫生服务中心骨干全科医生培训中央财政补助的资金使用完成率不到表。改进措施：建议各级卫健委能根据全科医生培养目标，结合基层医疗机构人员结构合理制定全科医生转岗培训年度招收计划，确保应派尽派、能派尽派，建议能改在年中启动此项培训。</w:t>
      </w:r>
    </w:p>
    <w:p>
      <w:pPr>
        <w:spacing w:beforeLines="50" w:line="600" w:lineRule="exact"/>
        <w:ind w:firstLine="660"/>
        <w:rPr>
          <w:rFonts w:ascii="仿宋_GB2312" w:hAnsi="仿宋" w:eastAsia="仿宋_GB2312" w:cs="宋体"/>
          <w:sz w:val="32"/>
          <w:szCs w:val="32"/>
        </w:rPr>
      </w:pPr>
      <w:r>
        <w:rPr>
          <w:rFonts w:hint="eastAsia" w:ascii="仿宋_GB2312" w:hAnsi="仿宋" w:eastAsia="仿宋_GB2312" w:cs="宋体"/>
          <w:sz w:val="32"/>
          <w:szCs w:val="32"/>
        </w:rPr>
        <w:t>项目效益情况</w:t>
      </w:r>
    </w:p>
    <w:p>
      <w:pPr>
        <w:spacing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项目实施产生的经济效益指标：无</w:t>
      </w:r>
    </w:p>
    <w:p>
      <w:pPr>
        <w:spacing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项目实施产生的社会效益指标为所有参培人员业务水平：预期指标是大幅度提高，实际完成值是90%，指标完成率是100%，达成年度指标。</w:t>
      </w:r>
    </w:p>
    <w:p>
      <w:pPr>
        <w:spacing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社会效益指标共计1个，完成1个，达到预期目标。</w:t>
      </w:r>
    </w:p>
    <w:p>
      <w:pPr>
        <w:spacing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项目实施产生的生态效益指标:无</w:t>
      </w:r>
    </w:p>
    <w:p>
      <w:pPr>
        <w:spacing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项目的可持续效益效益指标为：参培学员培训持续性预期指标是持续，实际完成值是90%，指标完成率是100%%，达到预期目标。</w:t>
      </w:r>
    </w:p>
    <w:p>
      <w:pPr>
        <w:spacing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可持续指标共计1个，完成1个，达到预期目标，可持续影响指标完成。</w:t>
      </w:r>
    </w:p>
    <w:p>
      <w:pPr>
        <w:spacing w:line="600" w:lineRule="exact"/>
        <w:ind w:firstLine="640" w:firstLineChars="200"/>
        <w:rPr>
          <w:rFonts w:hint="eastAsia" w:ascii="仿宋_GB2312" w:hAnsi="仿宋" w:eastAsia="仿宋_GB2312" w:cs="宋体"/>
          <w:sz w:val="32"/>
          <w:szCs w:val="32"/>
        </w:rPr>
      </w:pPr>
      <w:r>
        <w:rPr>
          <w:rFonts w:hint="eastAsia" w:ascii="仿宋_GB2312" w:hAnsi="仿宋" w:eastAsia="仿宋_GB2312" w:cs="宋体"/>
          <w:sz w:val="32"/>
          <w:szCs w:val="32"/>
        </w:rPr>
        <w:t>按计划完成项目实施，已做满意度调查问卷（对科室、带教老师的评价），调查人数179人，其中满意154人，不满意15人，服务对象满意度达86%。项目收益群众满意度为：达到了预期目标.</w:t>
      </w:r>
    </w:p>
    <w:p>
      <w:pPr>
        <w:pStyle w:val="17"/>
        <w:numPr>
          <w:ilvl w:val="0"/>
          <w:numId w:val="8"/>
        </w:numPr>
        <w:spacing w:line="600" w:lineRule="exact"/>
        <w:ind w:firstLineChars="0"/>
        <w:rPr>
          <w:rFonts w:hint="eastAsia" w:ascii="Times New Roman" w:hAnsi="Times New Roman" w:eastAsia="黑体" w:cs="Times New Roman"/>
          <w:b/>
          <w:bCs/>
          <w:kern w:val="44"/>
          <w:sz w:val="32"/>
          <w:szCs w:val="32"/>
        </w:rPr>
      </w:pPr>
      <w:r>
        <w:rPr>
          <w:rFonts w:hint="eastAsia" w:ascii="Times New Roman" w:hAnsi="Times New Roman" w:eastAsia="黑体" w:cs="Times New Roman"/>
          <w:b/>
          <w:bCs/>
          <w:kern w:val="44"/>
          <w:sz w:val="32"/>
          <w:szCs w:val="32"/>
        </w:rPr>
        <w:t xml:space="preserve">主要经验及做法、存在的问题及原因分析  </w:t>
      </w:r>
    </w:p>
    <w:p>
      <w:pPr>
        <w:pStyle w:val="17"/>
        <w:numPr>
          <w:ilvl w:val="1"/>
          <w:numId w:val="5"/>
        </w:numPr>
        <w:spacing w:beforeLines="50" w:line="600" w:lineRule="exact"/>
        <w:ind w:firstLineChars="0"/>
        <w:rPr>
          <w:rFonts w:hint="eastAsia" w:ascii="Times New Roman" w:hAnsi="Times New Roman" w:eastAsia="黑体" w:cs="Times New Roman"/>
          <w:b/>
          <w:bCs/>
          <w:kern w:val="44"/>
          <w:sz w:val="32"/>
          <w:szCs w:val="32"/>
        </w:rPr>
      </w:pPr>
      <w:r>
        <w:rPr>
          <w:rFonts w:hint="eastAsia" w:ascii="仿宋_GB2312" w:hAnsi="仿宋" w:eastAsia="仿宋_GB2312" w:cs="宋体"/>
          <w:b/>
          <w:bCs/>
          <w:sz w:val="32"/>
          <w:szCs w:val="32"/>
        </w:rPr>
        <w:t xml:space="preserve">主要经验及做法  </w:t>
      </w:r>
      <w:r>
        <w:rPr>
          <w:rFonts w:hint="eastAsia"/>
        </w:rPr>
        <w:t xml:space="preserve">  </w:t>
      </w:r>
    </w:p>
    <w:p>
      <w:pPr>
        <w:spacing w:beforeLines="50" w:line="600" w:lineRule="exact"/>
        <w:ind w:firstLine="640" w:firstLineChars="200"/>
        <w:rPr>
          <w:rFonts w:hint="eastAsia" w:ascii="仿宋_GB2312" w:eastAsia="仿宋_GB2312" w:cs="Times New Roman" w:hAnsiTheme="majorHAnsi"/>
          <w:bCs/>
          <w:sz w:val="32"/>
          <w:szCs w:val="32"/>
        </w:rPr>
      </w:pPr>
      <w:r>
        <w:rPr>
          <w:rFonts w:hint="eastAsia" w:ascii="仿宋_GB2312" w:eastAsia="仿宋_GB2312" w:cs="Times New Roman" w:hAnsiTheme="majorHAnsi"/>
          <w:bCs/>
          <w:sz w:val="32"/>
          <w:szCs w:val="32"/>
        </w:rPr>
        <w:t xml:space="preserve">绩效自评工作首先是要工作准备充分，一是评价小组成员应包含单位领导、项目负责人、财务负责人和行业专家，不同的岗位和职责应用和发挥自身专业和岗位作用。二是在资料收集和档案整理及分析上要全面。三是评价小组成员要加强绩效基础理论学习，用绩效的理论和知识进行分析评价，客观、公正的分析项目实施情况、资金使用和支付情况、绩效目标的完成情况，对发现的问题要及时总结。四是要对项目的事前、事中、事后全方位、全过程进行分析、掌握，注重评价过程的记录和档案整理，为下一年度工作提供依据。 </w:t>
      </w:r>
    </w:p>
    <w:p>
      <w:pPr>
        <w:pStyle w:val="17"/>
        <w:numPr>
          <w:ilvl w:val="1"/>
          <w:numId w:val="5"/>
        </w:numPr>
        <w:spacing w:beforeLines="50" w:line="600" w:lineRule="exact"/>
        <w:ind w:firstLineChars="0"/>
        <w:rPr>
          <w:rFonts w:hint="eastAsia" w:ascii="仿宋_GB2312" w:eastAsia="仿宋_GB2312" w:cs="Times New Roman" w:hAnsiTheme="majorHAnsi"/>
          <w:b/>
          <w:bCs/>
          <w:sz w:val="32"/>
          <w:szCs w:val="32"/>
        </w:rPr>
      </w:pPr>
      <w:r>
        <w:rPr>
          <w:rFonts w:hint="eastAsia" w:ascii="仿宋_GB2312" w:eastAsia="仿宋_GB2312" w:cs="Times New Roman" w:hAnsiTheme="majorHAnsi"/>
          <w:b/>
          <w:bCs/>
          <w:sz w:val="32"/>
          <w:szCs w:val="32"/>
        </w:rPr>
        <w:t xml:space="preserve">存在的问题及原因分析  </w:t>
      </w:r>
    </w:p>
    <w:p>
      <w:pPr>
        <w:spacing w:beforeLines="50" w:line="600" w:lineRule="exact"/>
        <w:ind w:firstLine="640" w:firstLineChars="200"/>
        <w:rPr>
          <w:rFonts w:ascii="Times New Roman" w:hAnsi="Times New Roman" w:eastAsia="黑体" w:cs="Times New Roman"/>
          <w:b/>
          <w:bCs/>
          <w:kern w:val="44"/>
          <w:sz w:val="32"/>
          <w:szCs w:val="32"/>
        </w:rPr>
      </w:pPr>
      <w:r>
        <w:rPr>
          <w:rFonts w:hint="eastAsia" w:ascii="仿宋_GB2312" w:eastAsia="仿宋_GB2312" w:cs="Times New Roman" w:hAnsiTheme="majorHAnsi"/>
          <w:bCs/>
          <w:sz w:val="32"/>
          <w:szCs w:val="32"/>
        </w:rPr>
        <w:t xml:space="preserve"> 一是自评工作还存在自我审定的局限性，会影响评价质量，容易造成问题的疏漏，在客观性和公正性上说服力不强。对各项指标和指标值要进一步优化、完善，主要在细化、量化上改进，二是缺少带着问题去评价的意识自评价工作还存在自我审定的局限性，会影响评价质量，容易造成问题的疏漏，在客观性和公正性上说服力不强。三是部分评价指标指标不够明确，具体措施和方法较少，缺少带着问题去评价的意识。四是缺乏现场评价的工作量少，后续效益评价具体措施和方法较少，对项目的事前、事中、事后全方位、全过程进行分析和掌握，不够重视评价过程的记录和档案整理。有关建议。</w:t>
      </w:r>
    </w:p>
    <w:p>
      <w:pPr>
        <w:pStyle w:val="21"/>
        <w:numPr>
          <w:ilvl w:val="0"/>
          <w:numId w:val="2"/>
        </w:numPr>
        <w:ind w:firstLineChars="0"/>
        <w:rPr>
          <w:rFonts w:ascii="黑体" w:hAnsi="黑体"/>
        </w:rPr>
      </w:pPr>
      <w:r>
        <w:rPr>
          <w:rFonts w:hint="eastAsia" w:ascii="黑体" w:hAnsi="黑体"/>
        </w:rPr>
        <w:t>其他需要说明的问题</w:t>
      </w:r>
    </w:p>
    <w:p>
      <w:pPr>
        <w:ind w:firstLine="640" w:firstLineChars="200"/>
        <w:rPr>
          <w:rFonts w:ascii="仿宋_GB2312" w:eastAsia="仿宋_GB2312" w:cs="Times New Roman" w:hAnsiTheme="majorHAnsi"/>
          <w:bCs/>
          <w:sz w:val="32"/>
          <w:szCs w:val="32"/>
        </w:rPr>
      </w:pPr>
      <w:r>
        <w:rPr>
          <w:rFonts w:hint="eastAsia" w:ascii="仿宋_GB2312" w:eastAsia="仿宋_GB2312" w:cs="Times New Roman" w:hAnsiTheme="majorHAnsi"/>
          <w:bCs/>
          <w:sz w:val="32"/>
          <w:szCs w:val="32"/>
        </w:rPr>
        <w:t>1、长期性项目：住院医师规范化培训、助理全科医生培训，培训周期分别为3年、2年，每年9月招收新的培训学员，培训内容与标准相对固定。在下一年度的项目实施过程中，重点结合项目绩效考核的预期指标制定具体实施方案，并进一步落实，加强项目过程中的绩效自评管理，每月一小评，每半年一大评，客观、公正的分析项目实施情况、资金使用和支付情况、绩效目标的完成情况，对发现的问题要及时总结、整改。</w:t>
      </w:r>
    </w:p>
    <w:p>
      <w:pPr>
        <w:ind w:firstLine="640" w:firstLineChars="200"/>
        <w:rPr>
          <w:rFonts w:ascii="仿宋_GB2312" w:eastAsia="仿宋_GB2312" w:cs="Times New Roman" w:hAnsiTheme="majorHAnsi"/>
          <w:bCs/>
          <w:sz w:val="32"/>
          <w:szCs w:val="32"/>
        </w:rPr>
      </w:pPr>
      <w:r>
        <w:rPr>
          <w:rFonts w:hint="eastAsia" w:ascii="仿宋_GB2312" w:eastAsia="仿宋_GB2312" w:cs="Times New Roman" w:hAnsiTheme="majorHAnsi"/>
          <w:bCs/>
          <w:sz w:val="32"/>
          <w:szCs w:val="32"/>
        </w:rPr>
        <w:t>2、短期性项目：紧缺人才培养项目（全科医生转岗培训），县乡村卫生人才能力提升项目的培训周期不统一，3个月——12个月不等，报到时间一般为年底即12月。按照每年地区卫健委分配的名额与学员报到时间来制定培训方案，资金使用采取相对固定的模式，参考住培、助理全科医生培训的管理模式去管理，部分培训资源共享，做好项目实施情况、资金使用和支付情况、绩效目标的完成情况的过程监管，及时分析、总结，发现问题及时整改。</w:t>
      </w:r>
    </w:p>
    <w:p>
      <w:pPr>
        <w:spacing w:line="700" w:lineRule="exact"/>
        <w:ind w:firstLine="640" w:firstLineChars="200"/>
        <w:jc w:val="left"/>
        <w:rPr>
          <w:rFonts w:ascii="仿宋_GB2312" w:eastAsia="仿宋_GB2312" w:cs="Times New Roman" w:hAnsiTheme="majorHAnsi"/>
          <w:bCs/>
          <w:sz w:val="32"/>
          <w:szCs w:val="32"/>
        </w:rPr>
      </w:pPr>
      <w:r>
        <w:rPr>
          <w:rFonts w:hint="eastAsia" w:ascii="仿宋_GB2312" w:eastAsia="仿宋_GB2312" w:cs="Times New Roman" w:hAnsiTheme="majorHAnsi"/>
          <w:bCs/>
          <w:sz w:val="32"/>
          <w:szCs w:val="32"/>
        </w:rPr>
        <w:t>附件1：喀什地区第一人民医院医疗服务与保障能力提升（卫生健康人才培养培训）项目支出绩效目标申报表</w:t>
      </w:r>
    </w:p>
    <w:p>
      <w:pPr>
        <w:spacing w:beforeLines="50" w:line="600" w:lineRule="exact"/>
        <w:ind w:firstLine="640" w:firstLineChars="200"/>
        <w:rPr>
          <w:rFonts w:ascii="仿宋_GB2312" w:hAnsi="仿宋" w:eastAsia="仿宋_GB2312" w:cs="宋体"/>
          <w:sz w:val="32"/>
          <w:szCs w:val="32"/>
        </w:rPr>
      </w:pPr>
      <w:r>
        <w:rPr>
          <w:rFonts w:hint="eastAsia" w:ascii="仿宋_GB2312" w:eastAsia="仿宋_GB2312" w:cs="Times New Roman" w:hAnsiTheme="majorHAnsi"/>
          <w:bCs/>
          <w:sz w:val="32"/>
          <w:szCs w:val="32"/>
        </w:rPr>
        <w:t>附件2：喀什地区第一人民医院医疗服务与保障能力提升（卫生健康人才培养培训）</w:t>
      </w:r>
      <w:r>
        <w:rPr>
          <w:rFonts w:hint="eastAsia" w:ascii="仿宋_GB2312" w:hAnsi="仿宋" w:eastAsia="仿宋_GB2312" w:cs="宋体"/>
          <w:sz w:val="32"/>
          <w:szCs w:val="32"/>
        </w:rPr>
        <w:t>项目支出绩效目标监控表</w:t>
      </w:r>
    </w:p>
    <w:p>
      <w:pPr>
        <w:spacing w:beforeLines="50" w:line="600" w:lineRule="exact"/>
        <w:ind w:firstLine="640" w:firstLineChars="200"/>
        <w:rPr>
          <w:rFonts w:ascii="仿宋_GB2312" w:eastAsia="仿宋_GB2312" w:cs="Times New Roman" w:hAnsiTheme="majorHAnsi"/>
          <w:bCs/>
          <w:sz w:val="32"/>
          <w:szCs w:val="32"/>
        </w:rPr>
      </w:pPr>
      <w:r>
        <w:rPr>
          <w:rFonts w:hint="eastAsia" w:ascii="仿宋_GB2312" w:eastAsia="仿宋_GB2312" w:cs="Times New Roman" w:hAnsiTheme="majorHAnsi"/>
          <w:bCs/>
          <w:sz w:val="32"/>
          <w:szCs w:val="32"/>
        </w:rPr>
        <w:t>附件3：喀什地区第一人民医院医疗服务与保障能力提升（卫生健康人才培养培训）项目支出绩效自评表</w:t>
      </w:r>
    </w:p>
    <w:p>
      <w:pPr>
        <w:spacing w:beforeLines="50" w:line="600" w:lineRule="exact"/>
        <w:ind w:firstLine="640" w:firstLineChars="200"/>
        <w:rPr>
          <w:rFonts w:ascii="仿宋_GB2312" w:hAnsi="仿宋" w:eastAsia="仿宋_GB2312" w:cs="宋体"/>
          <w:sz w:val="32"/>
          <w:szCs w:val="32"/>
        </w:rPr>
      </w:pPr>
      <w:r>
        <w:rPr>
          <w:rFonts w:hint="eastAsia" w:ascii="仿宋_GB2312" w:eastAsia="仿宋_GB2312" w:cs="Times New Roman" w:hAnsiTheme="majorHAnsi"/>
          <w:bCs/>
          <w:sz w:val="32"/>
          <w:szCs w:val="32"/>
        </w:rPr>
        <w:t>附件4：喀什地区第一人民医院医疗服务与保障能力提升（卫生健康人才培养培训）</w:t>
      </w:r>
      <w:r>
        <w:rPr>
          <w:rFonts w:hint="eastAsia" w:ascii="仿宋_GB2312" w:hAnsi="仿宋" w:eastAsia="仿宋_GB2312" w:cs="宋体"/>
          <w:sz w:val="32"/>
          <w:szCs w:val="32"/>
        </w:rPr>
        <w:t>项目支出绩效评价指标体系</w:t>
      </w:r>
    </w:p>
    <w:p>
      <w:pPr>
        <w:spacing w:beforeLines="50" w:line="600" w:lineRule="exact"/>
        <w:ind w:firstLine="640" w:firstLineChars="200"/>
        <w:rPr>
          <w:rFonts w:ascii="仿宋_GB2312" w:hAnsi="仿宋" w:eastAsia="仿宋_GB2312" w:cs="宋体"/>
          <w:sz w:val="32"/>
          <w:szCs w:val="32"/>
        </w:rPr>
      </w:pPr>
      <w:r>
        <w:rPr>
          <w:rFonts w:hint="eastAsia" w:ascii="仿宋_GB2312" w:eastAsia="仿宋_GB2312" w:cs="Times New Roman" w:hAnsiTheme="majorHAnsi"/>
          <w:bCs/>
          <w:sz w:val="32"/>
          <w:szCs w:val="32"/>
        </w:rPr>
        <w:t>附件5：</w:t>
      </w:r>
      <w:r>
        <w:rPr>
          <w:rFonts w:hint="eastAsia" w:ascii="仿宋_GB2312" w:hAnsi="仿宋" w:eastAsia="仿宋_GB2312" w:cs="宋体"/>
          <w:sz w:val="32"/>
          <w:szCs w:val="32"/>
        </w:rPr>
        <w:t>绩效评价依据</w:t>
      </w:r>
    </w:p>
    <w:p>
      <w:pPr>
        <w:spacing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附件6：</w:t>
      </w:r>
      <w:r>
        <w:rPr>
          <w:rFonts w:hint="eastAsia" w:ascii="仿宋_GB2312" w:eastAsia="仿宋_GB2312" w:cs="Times New Roman" w:hAnsiTheme="majorHAnsi"/>
          <w:bCs/>
          <w:sz w:val="32"/>
          <w:szCs w:val="32"/>
        </w:rPr>
        <w:t>喀什地区第一人民医院医疗服务与保障能力提升（卫生健康人才培养培训）</w:t>
      </w:r>
      <w:r>
        <w:rPr>
          <w:rFonts w:hint="eastAsia" w:ascii="仿宋_GB2312" w:hAnsi="仿宋" w:eastAsia="仿宋_GB2312" w:cs="宋体"/>
          <w:sz w:val="32"/>
          <w:szCs w:val="32"/>
        </w:rPr>
        <w:t>项目支出绩效评价评分表</w:t>
      </w:r>
    </w:p>
    <w:p>
      <w:pPr>
        <w:spacing w:beforeLines="50" w:line="600" w:lineRule="exact"/>
        <w:ind w:firstLine="640" w:firstLineChars="200"/>
        <w:rPr>
          <w:rFonts w:ascii="仿宋_GB2312" w:eastAsia="仿宋_GB2312" w:cs="Times New Roman" w:hAnsiTheme="majorHAnsi"/>
          <w:bCs/>
          <w:sz w:val="32"/>
          <w:szCs w:val="32"/>
        </w:rPr>
      </w:pPr>
    </w:p>
    <w:p>
      <w:pPr>
        <w:spacing w:beforeLines="50" w:line="600" w:lineRule="exact"/>
        <w:ind w:firstLine="640" w:firstLineChars="200"/>
        <w:rPr>
          <w:rFonts w:ascii="仿宋_GB2312" w:eastAsia="仿宋_GB2312" w:cs="Times New Roman" w:hAnsiTheme="majorHAnsi"/>
          <w:bCs/>
          <w:sz w:val="32"/>
          <w:szCs w:val="32"/>
        </w:rPr>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797" w:bottom="1440" w:left="1797"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0000000000000000000"/>
    <w:charset w:val="86"/>
    <w:family w:val="auto"/>
    <w:pitch w:val="default"/>
    <w:sig w:usb0="00000000" w:usb1="00000000" w:usb2="00000016" w:usb3="00000000" w:csb0="0004000F" w:csb1="00000000"/>
  </w:font>
  <w:font w:name="Arial">
    <w:panose1 w:val="020B0604020202020204"/>
    <w:charset w:val="00"/>
    <w:family w:val="swiss"/>
    <w:pitch w:val="default"/>
    <w:sig w:usb0="E0002AFF" w:usb1="C0007843" w:usb2="00000009" w:usb3="00000000" w:csb0="400001FF" w:csb1="FFFF0000"/>
  </w:font>
  <w:font w:name="等线 Light">
    <w:altName w:val="微软雅黑"/>
    <w:panose1 w:val="00000000000000000000"/>
    <w:charset w:val="86"/>
    <w:family w:val="auto"/>
    <w:pitch w:val="default"/>
    <w:sig w:usb0="00000000" w:usb1="00000000"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font>
  <w:font w:name="MingLiU">
    <w:panose1 w:val="02020509000000000000"/>
    <w:charset w:val="88"/>
    <w:family w:val="modern"/>
    <w:pitch w:val="default"/>
    <w:sig w:usb0="A00002FF" w:usb1="28CFFCFA" w:usb2="00000016" w:usb3="00000000" w:csb0="00100001" w:csb1="00000000"/>
  </w:font>
  <w:font w:name="方正小标宋简体">
    <w:altName w:val="微软雅黑"/>
    <w:panose1 w:val="00000000000000000000"/>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等线">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等线 Light">
    <w:altName w:val="Segoe Print"/>
    <w:panose1 w:val="00000000000000000000"/>
    <w:charset w:val="00"/>
    <w:family w:val="auto"/>
    <w:pitch w:val="default"/>
    <w:sig w:usb0="00000000" w:usb1="00000000" w:usb2="00000000" w:usb3="00000000" w:csb0="00000000"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6D4D14"/>
    <w:multiLevelType w:val="multilevel"/>
    <w:tmpl w:val="316D4D14"/>
    <w:lvl w:ilvl="0" w:tentative="0">
      <w:start w:val="1"/>
      <w:numFmt w:val="decimal"/>
      <w:lvlText w:val="%1."/>
      <w:lvlJc w:val="left"/>
      <w:pPr>
        <w:ind w:left="988" w:hanging="420"/>
      </w:pPr>
    </w:lvl>
    <w:lvl w:ilvl="1" w:tentative="0">
      <w:start w:val="1"/>
      <w:numFmt w:val="decimal"/>
      <w:lvlText w:val="%2."/>
      <w:lvlJc w:val="left"/>
      <w:pPr>
        <w:ind w:left="1408" w:hanging="420"/>
      </w:pPr>
    </w:lvl>
    <w:lvl w:ilvl="2" w:tentative="0">
      <w:start w:val="1"/>
      <w:numFmt w:val="lowerRoman"/>
      <w:lvlText w:val="%3."/>
      <w:lvlJc w:val="right"/>
      <w:pPr>
        <w:ind w:left="1828" w:hanging="420"/>
      </w:pPr>
    </w:lvl>
    <w:lvl w:ilvl="3" w:tentative="0">
      <w:start w:val="1"/>
      <w:numFmt w:val="decimal"/>
      <w:lvlText w:val="%4."/>
      <w:lvlJc w:val="left"/>
      <w:pPr>
        <w:ind w:left="2248" w:hanging="420"/>
      </w:pPr>
    </w:lvl>
    <w:lvl w:ilvl="4" w:tentative="0">
      <w:start w:val="1"/>
      <w:numFmt w:val="lowerLetter"/>
      <w:lvlText w:val="%5)"/>
      <w:lvlJc w:val="left"/>
      <w:pPr>
        <w:ind w:left="2668" w:hanging="420"/>
      </w:pPr>
    </w:lvl>
    <w:lvl w:ilvl="5" w:tentative="0">
      <w:start w:val="1"/>
      <w:numFmt w:val="lowerRoman"/>
      <w:lvlText w:val="%6."/>
      <w:lvlJc w:val="right"/>
      <w:pPr>
        <w:ind w:left="3088" w:hanging="420"/>
      </w:pPr>
    </w:lvl>
    <w:lvl w:ilvl="6" w:tentative="0">
      <w:start w:val="1"/>
      <w:numFmt w:val="decimal"/>
      <w:lvlText w:val="%7."/>
      <w:lvlJc w:val="left"/>
      <w:pPr>
        <w:ind w:left="3508" w:hanging="420"/>
      </w:pPr>
    </w:lvl>
    <w:lvl w:ilvl="7" w:tentative="0">
      <w:start w:val="1"/>
      <w:numFmt w:val="lowerLetter"/>
      <w:lvlText w:val="%8)"/>
      <w:lvlJc w:val="left"/>
      <w:pPr>
        <w:ind w:left="3928" w:hanging="420"/>
      </w:pPr>
    </w:lvl>
    <w:lvl w:ilvl="8" w:tentative="0">
      <w:start w:val="1"/>
      <w:numFmt w:val="lowerRoman"/>
      <w:lvlText w:val="%9."/>
      <w:lvlJc w:val="right"/>
      <w:pPr>
        <w:ind w:left="4348" w:hanging="420"/>
      </w:pPr>
    </w:lvl>
  </w:abstractNum>
  <w:abstractNum w:abstractNumId="1">
    <w:nsid w:val="3A7260C0"/>
    <w:multiLevelType w:val="multilevel"/>
    <w:tmpl w:val="3A7260C0"/>
    <w:lvl w:ilvl="0" w:tentative="0">
      <w:start w:val="1"/>
      <w:numFmt w:val="chineseCountingThousand"/>
      <w:pStyle w:val="23"/>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F37299F"/>
    <w:multiLevelType w:val="multilevel"/>
    <w:tmpl w:val="4F37299F"/>
    <w:lvl w:ilvl="0" w:tentative="0">
      <w:start w:val="1"/>
      <w:numFmt w:val="chineseCountingThousand"/>
      <w:lvlText w:val="(%1)"/>
      <w:lvlJc w:val="left"/>
      <w:pPr>
        <w:ind w:left="420" w:hanging="420"/>
      </w:pPr>
      <w:rPr>
        <w:rFonts w:hint="eastAsia"/>
      </w:rPr>
    </w:lvl>
    <w:lvl w:ilvl="1" w:tentative="0">
      <w:start w:val="1"/>
      <w:numFmt w:val="japaneseCounting"/>
      <w:lvlText w:val="（%2）"/>
      <w:lvlJc w:val="left"/>
      <w:pPr>
        <w:ind w:left="1500" w:hanging="108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54451D54"/>
    <w:multiLevelType w:val="multilevel"/>
    <w:tmpl w:val="54451D54"/>
    <w:lvl w:ilvl="0" w:tentative="0">
      <w:start w:val="1"/>
      <w:numFmt w:val="decimal"/>
      <w:lvlText w:val="%1．"/>
      <w:lvlJc w:val="left"/>
      <w:pPr>
        <w:ind w:left="1065" w:hanging="420"/>
      </w:pPr>
      <w:rPr>
        <w:rFonts w:hint="eastAsia"/>
      </w:rPr>
    </w:lvl>
    <w:lvl w:ilvl="1" w:tentative="0">
      <w:start w:val="1"/>
      <w:numFmt w:val="lowerLetter"/>
      <w:lvlText w:val="%2)"/>
      <w:lvlJc w:val="left"/>
      <w:pPr>
        <w:ind w:left="1485" w:hanging="420"/>
      </w:pPr>
    </w:lvl>
    <w:lvl w:ilvl="2" w:tentative="0">
      <w:start w:val="1"/>
      <w:numFmt w:val="lowerRoman"/>
      <w:lvlText w:val="%3."/>
      <w:lvlJc w:val="right"/>
      <w:pPr>
        <w:ind w:left="1905" w:hanging="420"/>
      </w:pPr>
    </w:lvl>
    <w:lvl w:ilvl="3" w:tentative="0">
      <w:start w:val="1"/>
      <w:numFmt w:val="decimal"/>
      <w:lvlText w:val="%4."/>
      <w:lvlJc w:val="left"/>
      <w:pPr>
        <w:ind w:left="2325" w:hanging="420"/>
      </w:pPr>
    </w:lvl>
    <w:lvl w:ilvl="4" w:tentative="0">
      <w:start w:val="1"/>
      <w:numFmt w:val="lowerLetter"/>
      <w:lvlText w:val="%5)"/>
      <w:lvlJc w:val="left"/>
      <w:pPr>
        <w:ind w:left="2745" w:hanging="420"/>
      </w:pPr>
    </w:lvl>
    <w:lvl w:ilvl="5" w:tentative="0">
      <w:start w:val="1"/>
      <w:numFmt w:val="lowerRoman"/>
      <w:lvlText w:val="%6."/>
      <w:lvlJc w:val="right"/>
      <w:pPr>
        <w:ind w:left="3165" w:hanging="420"/>
      </w:pPr>
    </w:lvl>
    <w:lvl w:ilvl="6" w:tentative="0">
      <w:start w:val="1"/>
      <w:numFmt w:val="decimal"/>
      <w:lvlText w:val="%7."/>
      <w:lvlJc w:val="left"/>
      <w:pPr>
        <w:ind w:left="3585" w:hanging="420"/>
      </w:pPr>
    </w:lvl>
    <w:lvl w:ilvl="7" w:tentative="0">
      <w:start w:val="1"/>
      <w:numFmt w:val="lowerLetter"/>
      <w:lvlText w:val="%8)"/>
      <w:lvlJc w:val="left"/>
      <w:pPr>
        <w:ind w:left="4005" w:hanging="420"/>
      </w:pPr>
    </w:lvl>
    <w:lvl w:ilvl="8" w:tentative="0">
      <w:start w:val="1"/>
      <w:numFmt w:val="lowerRoman"/>
      <w:lvlText w:val="%9."/>
      <w:lvlJc w:val="right"/>
      <w:pPr>
        <w:ind w:left="4425" w:hanging="420"/>
      </w:pPr>
    </w:lvl>
  </w:abstractNum>
  <w:abstractNum w:abstractNumId="4">
    <w:nsid w:val="5B493FDA"/>
    <w:multiLevelType w:val="multilevel"/>
    <w:tmpl w:val="5B493FDA"/>
    <w:lvl w:ilvl="0" w:tentative="0">
      <w:start w:val="1"/>
      <w:numFmt w:val="chineseCountingThousand"/>
      <w:lvlText w:val="(%1)"/>
      <w:lvlJc w:val="left"/>
      <w:pPr>
        <w:ind w:left="1060" w:hanging="420"/>
      </w:pPr>
      <w:rPr>
        <w:rFonts w:hint="eastAsia"/>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5">
    <w:nsid w:val="61746C71"/>
    <w:multiLevelType w:val="multilevel"/>
    <w:tmpl w:val="61746C71"/>
    <w:lvl w:ilvl="0" w:tentative="0">
      <w:start w:val="3"/>
      <w:numFmt w:val="japaneseCounting"/>
      <w:lvlText w:val="（%1）"/>
      <w:lvlJc w:val="left"/>
      <w:pPr>
        <w:ind w:left="1648" w:hanging="1080"/>
      </w:pPr>
      <w:rPr>
        <w:rFonts w:hint="default"/>
      </w:rPr>
    </w:lvl>
    <w:lvl w:ilvl="1" w:tentative="0">
      <w:start w:val="1"/>
      <w:numFmt w:val="lowerLetter"/>
      <w:lvlText w:val="%2)"/>
      <w:lvlJc w:val="left"/>
      <w:pPr>
        <w:ind w:left="1408" w:hanging="420"/>
      </w:pPr>
    </w:lvl>
    <w:lvl w:ilvl="2" w:tentative="0">
      <w:start w:val="1"/>
      <w:numFmt w:val="lowerRoman"/>
      <w:lvlText w:val="%3."/>
      <w:lvlJc w:val="right"/>
      <w:pPr>
        <w:ind w:left="1828" w:hanging="420"/>
      </w:pPr>
    </w:lvl>
    <w:lvl w:ilvl="3" w:tentative="0">
      <w:start w:val="1"/>
      <w:numFmt w:val="decimal"/>
      <w:lvlText w:val="%4."/>
      <w:lvlJc w:val="left"/>
      <w:pPr>
        <w:ind w:left="2248" w:hanging="420"/>
      </w:pPr>
    </w:lvl>
    <w:lvl w:ilvl="4" w:tentative="0">
      <w:start w:val="1"/>
      <w:numFmt w:val="lowerLetter"/>
      <w:lvlText w:val="%5)"/>
      <w:lvlJc w:val="left"/>
      <w:pPr>
        <w:ind w:left="2668" w:hanging="420"/>
      </w:pPr>
    </w:lvl>
    <w:lvl w:ilvl="5" w:tentative="0">
      <w:start w:val="1"/>
      <w:numFmt w:val="lowerRoman"/>
      <w:lvlText w:val="%6."/>
      <w:lvlJc w:val="right"/>
      <w:pPr>
        <w:ind w:left="3088" w:hanging="420"/>
      </w:pPr>
    </w:lvl>
    <w:lvl w:ilvl="6" w:tentative="0">
      <w:start w:val="1"/>
      <w:numFmt w:val="decimal"/>
      <w:lvlText w:val="%7."/>
      <w:lvlJc w:val="left"/>
      <w:pPr>
        <w:ind w:left="3508" w:hanging="420"/>
      </w:pPr>
    </w:lvl>
    <w:lvl w:ilvl="7" w:tentative="0">
      <w:start w:val="1"/>
      <w:numFmt w:val="lowerLetter"/>
      <w:lvlText w:val="%8)"/>
      <w:lvlJc w:val="left"/>
      <w:pPr>
        <w:ind w:left="3928" w:hanging="420"/>
      </w:pPr>
    </w:lvl>
    <w:lvl w:ilvl="8" w:tentative="0">
      <w:start w:val="1"/>
      <w:numFmt w:val="lowerRoman"/>
      <w:lvlText w:val="%9."/>
      <w:lvlJc w:val="right"/>
      <w:pPr>
        <w:ind w:left="4348" w:hanging="420"/>
      </w:pPr>
    </w:lvl>
  </w:abstractNum>
  <w:abstractNum w:abstractNumId="6">
    <w:nsid w:val="64E44C37"/>
    <w:multiLevelType w:val="multilevel"/>
    <w:tmpl w:val="64E44C37"/>
    <w:lvl w:ilvl="0" w:tentative="0">
      <w:start w:val="5"/>
      <w:numFmt w:val="japaneseCounting"/>
      <w:lvlText w:val="%1、"/>
      <w:lvlJc w:val="left"/>
      <w:pPr>
        <w:ind w:left="1363" w:hanging="720"/>
      </w:pPr>
      <w:rPr>
        <w:rFonts w:hint="default"/>
      </w:rPr>
    </w:lvl>
    <w:lvl w:ilvl="1" w:tentative="0">
      <w:start w:val="1"/>
      <w:numFmt w:val="lowerLetter"/>
      <w:lvlText w:val="%2)"/>
      <w:lvlJc w:val="left"/>
      <w:pPr>
        <w:ind w:left="1483" w:hanging="420"/>
      </w:pPr>
    </w:lvl>
    <w:lvl w:ilvl="2" w:tentative="0">
      <w:start w:val="1"/>
      <w:numFmt w:val="lowerRoman"/>
      <w:lvlText w:val="%3."/>
      <w:lvlJc w:val="right"/>
      <w:pPr>
        <w:ind w:left="1903" w:hanging="420"/>
      </w:pPr>
    </w:lvl>
    <w:lvl w:ilvl="3" w:tentative="0">
      <w:start w:val="1"/>
      <w:numFmt w:val="decimal"/>
      <w:lvlText w:val="%4."/>
      <w:lvlJc w:val="left"/>
      <w:pPr>
        <w:ind w:left="2323" w:hanging="420"/>
      </w:pPr>
    </w:lvl>
    <w:lvl w:ilvl="4" w:tentative="0">
      <w:start w:val="1"/>
      <w:numFmt w:val="lowerLetter"/>
      <w:lvlText w:val="%5)"/>
      <w:lvlJc w:val="left"/>
      <w:pPr>
        <w:ind w:left="2743" w:hanging="420"/>
      </w:pPr>
    </w:lvl>
    <w:lvl w:ilvl="5" w:tentative="0">
      <w:start w:val="1"/>
      <w:numFmt w:val="lowerRoman"/>
      <w:lvlText w:val="%6."/>
      <w:lvlJc w:val="right"/>
      <w:pPr>
        <w:ind w:left="3163" w:hanging="420"/>
      </w:pPr>
    </w:lvl>
    <w:lvl w:ilvl="6" w:tentative="0">
      <w:start w:val="1"/>
      <w:numFmt w:val="decimal"/>
      <w:lvlText w:val="%7."/>
      <w:lvlJc w:val="left"/>
      <w:pPr>
        <w:ind w:left="3583" w:hanging="420"/>
      </w:pPr>
    </w:lvl>
    <w:lvl w:ilvl="7" w:tentative="0">
      <w:start w:val="1"/>
      <w:numFmt w:val="lowerLetter"/>
      <w:lvlText w:val="%8)"/>
      <w:lvlJc w:val="left"/>
      <w:pPr>
        <w:ind w:left="4003" w:hanging="420"/>
      </w:pPr>
    </w:lvl>
    <w:lvl w:ilvl="8" w:tentative="0">
      <w:start w:val="1"/>
      <w:numFmt w:val="lowerRoman"/>
      <w:lvlText w:val="%9."/>
      <w:lvlJc w:val="right"/>
      <w:pPr>
        <w:ind w:left="4423" w:hanging="420"/>
      </w:pPr>
    </w:lvl>
  </w:abstractNum>
  <w:abstractNum w:abstractNumId="7">
    <w:nsid w:val="6757463D"/>
    <w:multiLevelType w:val="multilevel"/>
    <w:tmpl w:val="6757463D"/>
    <w:lvl w:ilvl="0" w:tentative="0">
      <w:start w:val="1"/>
      <w:numFmt w:val="chineseCountingThousand"/>
      <w:lvlText w:val="%1、"/>
      <w:lvlJc w:val="left"/>
      <w:pPr>
        <w:ind w:left="1063" w:hanging="420"/>
      </w:pPr>
      <w:rPr>
        <w:rFonts w:hint="eastAsia"/>
        <w:color w:val="auto"/>
      </w:rPr>
    </w:lvl>
    <w:lvl w:ilvl="1" w:tentative="0">
      <w:start w:val="1"/>
      <w:numFmt w:val="lowerLetter"/>
      <w:lvlText w:val="%2)"/>
      <w:lvlJc w:val="left"/>
      <w:pPr>
        <w:ind w:left="1483" w:hanging="420"/>
      </w:pPr>
    </w:lvl>
    <w:lvl w:ilvl="2" w:tentative="0">
      <w:start w:val="1"/>
      <w:numFmt w:val="lowerRoman"/>
      <w:lvlText w:val="%3."/>
      <w:lvlJc w:val="right"/>
      <w:pPr>
        <w:ind w:left="1903" w:hanging="420"/>
      </w:pPr>
    </w:lvl>
    <w:lvl w:ilvl="3" w:tentative="0">
      <w:start w:val="1"/>
      <w:numFmt w:val="decimal"/>
      <w:lvlText w:val="%4."/>
      <w:lvlJc w:val="left"/>
      <w:pPr>
        <w:ind w:left="2323" w:hanging="420"/>
      </w:pPr>
    </w:lvl>
    <w:lvl w:ilvl="4" w:tentative="0">
      <w:start w:val="1"/>
      <w:numFmt w:val="lowerLetter"/>
      <w:lvlText w:val="%5)"/>
      <w:lvlJc w:val="left"/>
      <w:pPr>
        <w:ind w:left="2743" w:hanging="420"/>
      </w:pPr>
    </w:lvl>
    <w:lvl w:ilvl="5" w:tentative="0">
      <w:start w:val="1"/>
      <w:numFmt w:val="lowerRoman"/>
      <w:lvlText w:val="%6."/>
      <w:lvlJc w:val="right"/>
      <w:pPr>
        <w:ind w:left="3163" w:hanging="420"/>
      </w:pPr>
    </w:lvl>
    <w:lvl w:ilvl="6" w:tentative="0">
      <w:start w:val="1"/>
      <w:numFmt w:val="decimal"/>
      <w:lvlText w:val="%7."/>
      <w:lvlJc w:val="left"/>
      <w:pPr>
        <w:ind w:left="3583" w:hanging="420"/>
      </w:pPr>
    </w:lvl>
    <w:lvl w:ilvl="7" w:tentative="0">
      <w:start w:val="1"/>
      <w:numFmt w:val="lowerLetter"/>
      <w:lvlText w:val="%8)"/>
      <w:lvlJc w:val="left"/>
      <w:pPr>
        <w:ind w:left="4003" w:hanging="420"/>
      </w:pPr>
    </w:lvl>
    <w:lvl w:ilvl="8" w:tentative="0">
      <w:start w:val="1"/>
      <w:numFmt w:val="lowerRoman"/>
      <w:lvlText w:val="%9."/>
      <w:lvlJc w:val="right"/>
      <w:pPr>
        <w:ind w:left="4423" w:hanging="420"/>
      </w:pPr>
    </w:lvl>
  </w:abstractNum>
  <w:num w:numId="1">
    <w:abstractNumId w:val="1"/>
  </w:num>
  <w:num w:numId="2">
    <w:abstractNumId w:val="7"/>
  </w:num>
  <w:num w:numId="3">
    <w:abstractNumId w:val="3"/>
  </w:num>
  <w:num w:numId="4">
    <w:abstractNumId w:val="5"/>
  </w:num>
  <w:num w:numId="5">
    <w:abstractNumId w:val="2"/>
  </w:num>
  <w:num w:numId="6">
    <w:abstractNumId w:val="0"/>
  </w:num>
  <w:num w:numId="7">
    <w:abstractNumId w:val="4"/>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0"/>
  <w:drawingGridHorizontalSpacing w:val="210"/>
  <w:drawingGridVerticalSpacing w:val="158"/>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75715"/>
    <w:rsid w:val="00022413"/>
    <w:rsid w:val="00037F93"/>
    <w:rsid w:val="00042126"/>
    <w:rsid w:val="000E0C7B"/>
    <w:rsid w:val="000F2007"/>
    <w:rsid w:val="00100A64"/>
    <w:rsid w:val="00100AA9"/>
    <w:rsid w:val="001143D6"/>
    <w:rsid w:val="0012798F"/>
    <w:rsid w:val="00132553"/>
    <w:rsid w:val="00145730"/>
    <w:rsid w:val="00151AF1"/>
    <w:rsid w:val="00174F3A"/>
    <w:rsid w:val="0018169D"/>
    <w:rsid w:val="00193649"/>
    <w:rsid w:val="0019720C"/>
    <w:rsid w:val="001A1902"/>
    <w:rsid w:val="001A4FFA"/>
    <w:rsid w:val="001B5B44"/>
    <w:rsid w:val="001D5FF2"/>
    <w:rsid w:val="001D6F2E"/>
    <w:rsid w:val="00203FB6"/>
    <w:rsid w:val="00233ECE"/>
    <w:rsid w:val="002A1BF4"/>
    <w:rsid w:val="002B3A72"/>
    <w:rsid w:val="002C6231"/>
    <w:rsid w:val="002F7CDC"/>
    <w:rsid w:val="00324E56"/>
    <w:rsid w:val="00331AF1"/>
    <w:rsid w:val="003468D7"/>
    <w:rsid w:val="00363E52"/>
    <w:rsid w:val="00382736"/>
    <w:rsid w:val="003A04D1"/>
    <w:rsid w:val="003C327E"/>
    <w:rsid w:val="003C4B3D"/>
    <w:rsid w:val="003C6E7F"/>
    <w:rsid w:val="003E0E95"/>
    <w:rsid w:val="003F0270"/>
    <w:rsid w:val="003F1C70"/>
    <w:rsid w:val="003F2E47"/>
    <w:rsid w:val="004018B1"/>
    <w:rsid w:val="00403544"/>
    <w:rsid w:val="004115AA"/>
    <w:rsid w:val="00422A8B"/>
    <w:rsid w:val="00434C92"/>
    <w:rsid w:val="00443C47"/>
    <w:rsid w:val="00452560"/>
    <w:rsid w:val="00467DBB"/>
    <w:rsid w:val="004A0587"/>
    <w:rsid w:val="004C56AB"/>
    <w:rsid w:val="004D088E"/>
    <w:rsid w:val="004D4F06"/>
    <w:rsid w:val="00506E1F"/>
    <w:rsid w:val="005225F1"/>
    <w:rsid w:val="00531253"/>
    <w:rsid w:val="00540B36"/>
    <w:rsid w:val="00563118"/>
    <w:rsid w:val="00563E06"/>
    <w:rsid w:val="0058554B"/>
    <w:rsid w:val="005968FD"/>
    <w:rsid w:val="00596DDF"/>
    <w:rsid w:val="005B6EAB"/>
    <w:rsid w:val="005D7AC7"/>
    <w:rsid w:val="005E45BC"/>
    <w:rsid w:val="00630E69"/>
    <w:rsid w:val="006362B2"/>
    <w:rsid w:val="0065420A"/>
    <w:rsid w:val="006869EC"/>
    <w:rsid w:val="00694A44"/>
    <w:rsid w:val="006D0AA4"/>
    <w:rsid w:val="006F2513"/>
    <w:rsid w:val="006F64CB"/>
    <w:rsid w:val="0071759F"/>
    <w:rsid w:val="007253B3"/>
    <w:rsid w:val="00731D46"/>
    <w:rsid w:val="00734BAD"/>
    <w:rsid w:val="00752C57"/>
    <w:rsid w:val="00781733"/>
    <w:rsid w:val="007A34F9"/>
    <w:rsid w:val="007C5CF9"/>
    <w:rsid w:val="007D340B"/>
    <w:rsid w:val="007E6392"/>
    <w:rsid w:val="007F3C25"/>
    <w:rsid w:val="00811F2D"/>
    <w:rsid w:val="00815938"/>
    <w:rsid w:val="008226BA"/>
    <w:rsid w:val="00827DA6"/>
    <w:rsid w:val="00835103"/>
    <w:rsid w:val="00854416"/>
    <w:rsid w:val="00866F54"/>
    <w:rsid w:val="00883FF2"/>
    <w:rsid w:val="0089293E"/>
    <w:rsid w:val="00893E6C"/>
    <w:rsid w:val="008C7FA7"/>
    <w:rsid w:val="008D7BC7"/>
    <w:rsid w:val="0090101F"/>
    <w:rsid w:val="0090104C"/>
    <w:rsid w:val="00982B10"/>
    <w:rsid w:val="009C0267"/>
    <w:rsid w:val="009E5354"/>
    <w:rsid w:val="00A10F1E"/>
    <w:rsid w:val="00A12A0C"/>
    <w:rsid w:val="00A365D5"/>
    <w:rsid w:val="00A41DB8"/>
    <w:rsid w:val="00A43094"/>
    <w:rsid w:val="00A53361"/>
    <w:rsid w:val="00A5786D"/>
    <w:rsid w:val="00A60191"/>
    <w:rsid w:val="00A81609"/>
    <w:rsid w:val="00A85237"/>
    <w:rsid w:val="00AB07C5"/>
    <w:rsid w:val="00AB1C6D"/>
    <w:rsid w:val="00AE1FDF"/>
    <w:rsid w:val="00AE3042"/>
    <w:rsid w:val="00B03B29"/>
    <w:rsid w:val="00B16C8F"/>
    <w:rsid w:val="00B32FA4"/>
    <w:rsid w:val="00B36F46"/>
    <w:rsid w:val="00B47B13"/>
    <w:rsid w:val="00B53BE4"/>
    <w:rsid w:val="00B6063F"/>
    <w:rsid w:val="00B9042A"/>
    <w:rsid w:val="00BA0855"/>
    <w:rsid w:val="00BA65AD"/>
    <w:rsid w:val="00BC7696"/>
    <w:rsid w:val="00C2671D"/>
    <w:rsid w:val="00C563AA"/>
    <w:rsid w:val="00C71FF0"/>
    <w:rsid w:val="00C77259"/>
    <w:rsid w:val="00C97E2D"/>
    <w:rsid w:val="00CC1CAC"/>
    <w:rsid w:val="00D043D7"/>
    <w:rsid w:val="00D117FB"/>
    <w:rsid w:val="00D23C2E"/>
    <w:rsid w:val="00D61EC8"/>
    <w:rsid w:val="00D93516"/>
    <w:rsid w:val="00DA134E"/>
    <w:rsid w:val="00DA2C15"/>
    <w:rsid w:val="00DA7F4C"/>
    <w:rsid w:val="00DC5F94"/>
    <w:rsid w:val="00DE152F"/>
    <w:rsid w:val="00DE293B"/>
    <w:rsid w:val="00E05626"/>
    <w:rsid w:val="00E25B2F"/>
    <w:rsid w:val="00E373A5"/>
    <w:rsid w:val="00E66A4D"/>
    <w:rsid w:val="00E72B1C"/>
    <w:rsid w:val="00E96169"/>
    <w:rsid w:val="00F0780F"/>
    <w:rsid w:val="00F16D54"/>
    <w:rsid w:val="00F6015C"/>
    <w:rsid w:val="00F71326"/>
    <w:rsid w:val="00F75715"/>
    <w:rsid w:val="00FB2E2F"/>
    <w:rsid w:val="00FD300A"/>
    <w:rsid w:val="00FF137F"/>
    <w:rsid w:val="00FF6959"/>
    <w:rsid w:val="00FF6C14"/>
    <w:rsid w:val="01BE6316"/>
    <w:rsid w:val="05B74FE0"/>
    <w:rsid w:val="24E73B1F"/>
    <w:rsid w:val="26173FF7"/>
    <w:rsid w:val="26F03C06"/>
    <w:rsid w:val="2A547683"/>
    <w:rsid w:val="667765BF"/>
    <w:rsid w:val="7775238E"/>
    <w:rsid w:val="7A8638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1"/>
      <w:lang w:val="en-US" w:eastAsia="zh-CN" w:bidi="ar-SA"/>
    </w:rPr>
  </w:style>
  <w:style w:type="paragraph" w:styleId="2">
    <w:name w:val="heading 1"/>
    <w:basedOn w:val="1"/>
    <w:next w:val="1"/>
    <w:link w:val="16"/>
    <w:qFormat/>
    <w:uiPriority w:val="9"/>
    <w:pPr>
      <w:keepNext/>
      <w:keepLines/>
      <w:spacing w:before="340" w:after="330" w:line="578" w:lineRule="auto"/>
      <w:outlineLvl w:val="0"/>
    </w:pPr>
    <w:rPr>
      <w:rFonts w:ascii="Times New Roman" w:hAnsi="Times New Roman" w:eastAsia="黑体" w:cs="Arial"/>
      <w:b/>
      <w:bCs/>
      <w:kern w:val="44"/>
      <w:sz w:val="28"/>
      <w:szCs w:val="44"/>
    </w:rPr>
  </w:style>
  <w:style w:type="paragraph" w:styleId="3">
    <w:name w:val="heading 2"/>
    <w:basedOn w:val="1"/>
    <w:next w:val="1"/>
    <w:link w:val="22"/>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2"/>
    <w:unhideWhenUsed/>
    <w:qFormat/>
    <w:uiPriority w:val="9"/>
    <w:pPr>
      <w:keepNext/>
      <w:keepLines/>
      <w:spacing w:before="260" w:after="260" w:line="416" w:lineRule="auto"/>
      <w:outlineLvl w:val="2"/>
    </w:pPr>
    <w:rPr>
      <w:b/>
      <w:bCs/>
      <w:sz w:val="32"/>
      <w:szCs w:val="32"/>
    </w:rPr>
  </w:style>
  <w:style w:type="character" w:default="1" w:styleId="12">
    <w:name w:val="Default Paragraph Font"/>
    <w:semiHidden/>
    <w:unhideWhenUsed/>
    <w:qFormat/>
    <w:uiPriority w:val="1"/>
  </w:style>
  <w:style w:type="table" w:default="1" w:styleId="14">
    <w:name w:val="Normal Table"/>
    <w:semiHidden/>
    <w:unhideWhenUsed/>
    <w:qFormat/>
    <w:uiPriority w:val="99"/>
    <w:tblPr>
      <w:tblLayout w:type="fixed"/>
      <w:tblCellMar>
        <w:top w:w="0" w:type="dxa"/>
        <w:left w:w="108" w:type="dxa"/>
        <w:bottom w:w="0" w:type="dxa"/>
        <w:right w:w="108" w:type="dxa"/>
      </w:tblCellMar>
    </w:tblPr>
  </w:style>
  <w:style w:type="paragraph" w:styleId="5">
    <w:name w:val="toc 3"/>
    <w:basedOn w:val="1"/>
    <w:next w:val="1"/>
    <w:semiHidden/>
    <w:unhideWhenUsed/>
    <w:qFormat/>
    <w:uiPriority w:val="39"/>
    <w:rPr>
      <w:rFonts w:eastAsia="仿宋_GB2312"/>
      <w:sz w:val="28"/>
    </w:rPr>
  </w:style>
  <w:style w:type="paragraph" w:styleId="6">
    <w:name w:val="Balloon Text"/>
    <w:basedOn w:val="1"/>
    <w:link w:val="20"/>
    <w:semiHidden/>
    <w:unhideWhenUsed/>
    <w:qFormat/>
    <w:uiPriority w:val="99"/>
    <w:rPr>
      <w:sz w:val="18"/>
      <w:szCs w:val="18"/>
    </w:rPr>
  </w:style>
  <w:style w:type="paragraph" w:styleId="7">
    <w:name w:val="footer"/>
    <w:basedOn w:val="1"/>
    <w:link w:val="19"/>
    <w:unhideWhenUsed/>
    <w:qFormat/>
    <w:uiPriority w:val="99"/>
    <w:pPr>
      <w:tabs>
        <w:tab w:val="center" w:pos="4153"/>
        <w:tab w:val="right" w:pos="8306"/>
      </w:tabs>
      <w:snapToGrid w:val="0"/>
      <w:jc w:val="left"/>
    </w:pPr>
    <w:rPr>
      <w:sz w:val="18"/>
      <w:szCs w:val="18"/>
    </w:rPr>
  </w:style>
  <w:style w:type="paragraph" w:styleId="8">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toc 1"/>
    <w:basedOn w:val="1"/>
    <w:next w:val="1"/>
    <w:unhideWhenUsed/>
    <w:qFormat/>
    <w:uiPriority w:val="39"/>
    <w:rPr>
      <w:rFonts w:eastAsia="仿宋_GB2312"/>
      <w:sz w:val="28"/>
    </w:rPr>
  </w:style>
  <w:style w:type="paragraph" w:styleId="10">
    <w:name w:val="toc 2"/>
    <w:basedOn w:val="1"/>
    <w:next w:val="1"/>
    <w:unhideWhenUsed/>
    <w:qFormat/>
    <w:uiPriority w:val="39"/>
    <w:rPr>
      <w:rFonts w:eastAsia="仿宋_GB2312"/>
      <w:sz w:val="28"/>
    </w:rPr>
  </w:style>
  <w:style w:type="paragraph" w:styleId="11">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13">
    <w:name w:val="Hyperlink"/>
    <w:basedOn w:val="12"/>
    <w:unhideWhenUsed/>
    <w:qFormat/>
    <w:uiPriority w:val="99"/>
    <w:rPr>
      <w:color w:val="0563C1" w:themeColor="hyperlink"/>
      <w:u w:val="single"/>
    </w:rPr>
  </w:style>
  <w:style w:type="table" w:styleId="15">
    <w:name w:val="Table Grid"/>
    <w:basedOn w:val="1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6">
    <w:name w:val="标题 1 Char"/>
    <w:basedOn w:val="12"/>
    <w:link w:val="2"/>
    <w:qFormat/>
    <w:uiPriority w:val="9"/>
    <w:rPr>
      <w:rFonts w:ascii="Times New Roman" w:hAnsi="Times New Roman" w:eastAsia="黑体" w:cs="Arial"/>
      <w:b/>
      <w:bCs/>
      <w:kern w:val="44"/>
      <w:sz w:val="28"/>
      <w:szCs w:val="44"/>
    </w:rPr>
  </w:style>
  <w:style w:type="paragraph" w:styleId="17">
    <w:name w:val="List Paragraph"/>
    <w:basedOn w:val="1"/>
    <w:qFormat/>
    <w:uiPriority w:val="34"/>
    <w:pPr>
      <w:ind w:firstLine="420" w:firstLineChars="200"/>
    </w:pPr>
  </w:style>
  <w:style w:type="character" w:customStyle="1" w:styleId="18">
    <w:name w:val="页眉 Char"/>
    <w:basedOn w:val="12"/>
    <w:link w:val="8"/>
    <w:qFormat/>
    <w:uiPriority w:val="99"/>
    <w:rPr>
      <w:sz w:val="18"/>
      <w:szCs w:val="18"/>
    </w:rPr>
  </w:style>
  <w:style w:type="character" w:customStyle="1" w:styleId="19">
    <w:name w:val="页脚 Char"/>
    <w:basedOn w:val="12"/>
    <w:link w:val="7"/>
    <w:qFormat/>
    <w:uiPriority w:val="99"/>
    <w:rPr>
      <w:sz w:val="18"/>
      <w:szCs w:val="18"/>
    </w:rPr>
  </w:style>
  <w:style w:type="character" w:customStyle="1" w:styleId="20">
    <w:name w:val="批注框文本 Char"/>
    <w:basedOn w:val="12"/>
    <w:link w:val="6"/>
    <w:semiHidden/>
    <w:qFormat/>
    <w:uiPriority w:val="99"/>
    <w:rPr>
      <w:sz w:val="18"/>
      <w:szCs w:val="18"/>
    </w:rPr>
  </w:style>
  <w:style w:type="paragraph" w:customStyle="1" w:styleId="21">
    <w:name w:val="标题1"/>
    <w:basedOn w:val="2"/>
    <w:qFormat/>
    <w:uiPriority w:val="0"/>
    <w:pPr>
      <w:spacing w:before="120" w:after="120" w:line="500" w:lineRule="exact"/>
      <w:ind w:firstLine="200" w:firstLineChars="200"/>
    </w:pPr>
    <w:rPr>
      <w:rFonts w:cs="Times New Roman"/>
      <w:sz w:val="32"/>
      <w:szCs w:val="32"/>
    </w:rPr>
  </w:style>
  <w:style w:type="character" w:customStyle="1" w:styleId="22">
    <w:name w:val="标题 2 Char"/>
    <w:basedOn w:val="12"/>
    <w:link w:val="3"/>
    <w:qFormat/>
    <w:uiPriority w:val="9"/>
    <w:rPr>
      <w:rFonts w:asciiTheme="majorHAnsi" w:hAnsiTheme="majorHAnsi" w:eastAsiaTheme="majorEastAsia" w:cstheme="majorBidi"/>
      <w:b/>
      <w:bCs/>
      <w:sz w:val="32"/>
      <w:szCs w:val="32"/>
    </w:rPr>
  </w:style>
  <w:style w:type="paragraph" w:customStyle="1" w:styleId="23">
    <w:name w:val="标题2"/>
    <w:basedOn w:val="3"/>
    <w:qFormat/>
    <w:uiPriority w:val="0"/>
    <w:pPr>
      <w:numPr>
        <w:ilvl w:val="0"/>
        <w:numId w:val="1"/>
      </w:numPr>
      <w:spacing w:before="120" w:after="120" w:line="500" w:lineRule="exact"/>
    </w:pPr>
    <w:rPr>
      <w:rFonts w:ascii="仿宋_GB2312" w:eastAsia="仿宋_GB2312" w:cs="Times New Roman"/>
    </w:rPr>
  </w:style>
  <w:style w:type="paragraph" w:customStyle="1" w:styleId="24">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496" w:themeColor="accent1" w:themeShade="BF"/>
      <w:kern w:val="0"/>
      <w:sz w:val="32"/>
      <w:szCs w:val="32"/>
    </w:rPr>
  </w:style>
  <w:style w:type="character" w:customStyle="1" w:styleId="25">
    <w:name w:val="闻政正文 Char"/>
    <w:link w:val="26"/>
    <w:qFormat/>
    <w:uiPriority w:val="0"/>
    <w:rPr>
      <w:rFonts w:ascii="Times New Roman" w:hAnsi="Times New Roman" w:eastAsia="仿宋_GB2312" w:cs="Times New Roman"/>
      <w:sz w:val="28"/>
      <w:szCs w:val="28"/>
    </w:rPr>
  </w:style>
  <w:style w:type="paragraph" w:customStyle="1" w:styleId="26">
    <w:name w:val="闻政正文"/>
    <w:basedOn w:val="1"/>
    <w:link w:val="25"/>
    <w:qFormat/>
    <w:uiPriority w:val="0"/>
    <w:pPr>
      <w:spacing w:line="500" w:lineRule="exact"/>
      <w:ind w:firstLine="560" w:firstLineChars="200"/>
    </w:pPr>
    <w:rPr>
      <w:rFonts w:ascii="Times New Roman" w:hAnsi="Times New Roman" w:eastAsia="仿宋_GB2312" w:cs="Times New Roman"/>
      <w:sz w:val="28"/>
      <w:szCs w:val="28"/>
    </w:rPr>
  </w:style>
  <w:style w:type="character" w:customStyle="1" w:styleId="27">
    <w:name w:val="闻政表 Char"/>
    <w:link w:val="28"/>
    <w:qFormat/>
    <w:uiPriority w:val="0"/>
    <w:rPr>
      <w:rFonts w:ascii="Times New Roman" w:hAnsi="Times New Roman" w:eastAsia="仿宋_GB2312" w:cs="Times New Roman"/>
      <w:b/>
      <w:sz w:val="24"/>
      <w:szCs w:val="28"/>
    </w:rPr>
  </w:style>
  <w:style w:type="paragraph" w:customStyle="1" w:styleId="28">
    <w:name w:val="闻政表"/>
    <w:basedOn w:val="1"/>
    <w:link w:val="27"/>
    <w:qFormat/>
    <w:uiPriority w:val="0"/>
    <w:pPr>
      <w:spacing w:before="60" w:after="60"/>
      <w:jc w:val="center"/>
    </w:pPr>
    <w:rPr>
      <w:rFonts w:ascii="Times New Roman" w:hAnsi="Times New Roman" w:eastAsia="仿宋_GB2312" w:cs="Times New Roman"/>
      <w:b/>
      <w:sz w:val="24"/>
      <w:szCs w:val="28"/>
    </w:rPr>
  </w:style>
  <w:style w:type="paragraph" w:customStyle="1" w:styleId="29">
    <w:name w:val="Char"/>
    <w:basedOn w:val="1"/>
    <w:qFormat/>
    <w:uiPriority w:val="0"/>
    <w:pPr>
      <w:widowControl/>
      <w:spacing w:after="160" w:line="240" w:lineRule="exact"/>
      <w:jc w:val="left"/>
    </w:pPr>
    <w:rPr>
      <w:rFonts w:ascii="Times New Roman" w:hAnsi="Times New Roman" w:eastAsia="宋体" w:cs="Times New Roman"/>
      <w:szCs w:val="22"/>
    </w:rPr>
  </w:style>
  <w:style w:type="character" w:customStyle="1" w:styleId="30">
    <w:name w:val="闻政标题3 Char"/>
    <w:link w:val="31"/>
    <w:qFormat/>
    <w:uiPriority w:val="0"/>
    <w:rPr>
      <w:rFonts w:ascii="黑体" w:hAnsi="黑体" w:eastAsia="黑体" w:cs="Times New Roman"/>
      <w:bCs/>
      <w:sz w:val="32"/>
      <w:szCs w:val="32"/>
    </w:rPr>
  </w:style>
  <w:style w:type="paragraph" w:customStyle="1" w:styleId="31">
    <w:name w:val="闻政标题3"/>
    <w:basedOn w:val="4"/>
    <w:link w:val="30"/>
    <w:qFormat/>
    <w:uiPriority w:val="99"/>
    <w:pPr>
      <w:spacing w:before="120" w:after="60" w:line="500" w:lineRule="exact"/>
      <w:jc w:val="left"/>
      <w:outlineLvl w:val="0"/>
    </w:pPr>
    <w:rPr>
      <w:rFonts w:ascii="黑体" w:hAnsi="黑体" w:eastAsia="黑体" w:cs="Times New Roman"/>
      <w:b w:val="0"/>
    </w:rPr>
  </w:style>
  <w:style w:type="character" w:customStyle="1" w:styleId="32">
    <w:name w:val="标题 3 Char"/>
    <w:basedOn w:val="12"/>
    <w:link w:val="4"/>
    <w:qFormat/>
    <w:uiPriority w:val="9"/>
    <w:rPr>
      <w:b/>
      <w:bCs/>
      <w:sz w:val="32"/>
      <w:szCs w:val="32"/>
    </w:rPr>
  </w:style>
  <w:style w:type="paragraph" w:customStyle="1" w:styleId="33">
    <w:name w:val="Body text|1"/>
    <w:basedOn w:val="1"/>
    <w:link w:val="34"/>
    <w:qFormat/>
    <w:uiPriority w:val="0"/>
    <w:pPr>
      <w:spacing w:after="40" w:line="334" w:lineRule="auto"/>
    </w:pPr>
    <w:rPr>
      <w:rFonts w:ascii="MingLiU" w:hAnsi="MingLiU" w:eastAsia="MingLiU" w:cs="MingLiU"/>
      <w:sz w:val="20"/>
      <w:szCs w:val="20"/>
      <w:lang w:val="zh-TW" w:eastAsia="zh-TW" w:bidi="zh-TW"/>
    </w:rPr>
  </w:style>
  <w:style w:type="character" w:customStyle="1" w:styleId="34">
    <w:name w:val="Body text|1_"/>
    <w:basedOn w:val="12"/>
    <w:link w:val="33"/>
    <w:unhideWhenUsed/>
    <w:qFormat/>
    <w:uiPriority w:val="0"/>
    <w:rPr>
      <w:rFonts w:ascii="MingLiU" w:hAnsi="MingLiU" w:eastAsia="MingLiU" w:cs="MingLiU"/>
      <w:sz w:val="20"/>
      <w:szCs w:val="20"/>
      <w:lang w:val="zh-TW" w:eastAsia="zh-TW" w:bidi="zh-TW"/>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6842263-F55B-4064-BE98-E698D2D2F4E1}">
  <ds:schemaRefs/>
</ds:datastoreItem>
</file>

<file path=docProps/app.xml><?xml version="1.0" encoding="utf-8"?>
<Properties xmlns="http://schemas.openxmlformats.org/officeDocument/2006/extended-properties" xmlns:vt="http://schemas.openxmlformats.org/officeDocument/2006/docPropsVTypes">
  <Template>Normal.dotm</Template>
  <Company>Sky123.Org</Company>
  <Pages>16</Pages>
  <Words>1088</Words>
  <Characters>6203</Characters>
  <Lines>51</Lines>
  <Paragraphs>14</Paragraphs>
  <TotalTime>148</TotalTime>
  <ScaleCrop>false</ScaleCrop>
  <LinksUpToDate>false</LinksUpToDate>
  <CharactersWithSpaces>7277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2019-11-22T05:12:00Z</dcterms:created>
  <dc:creator>ThinkPad</dc:creator>
  <cp:lastModifiedBy>ASUS</cp:lastModifiedBy>
  <dcterms:modified xsi:type="dcterms:W3CDTF">2020-05-05T13:11:28Z</dcterms:modified>
  <dc:title>新疆普天鹏华商务信息咨询有限公司</dc:title>
  <cp:revision>91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