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福利彩票发行中心福利彩票市场调控资金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福利彩票市场调控资金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喀什地区福利彩票发行中心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喀什地区福利彩票发行中心</w:t>
      </w: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hint="eastAsia"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hint="eastAsia"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hint="eastAsia"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喀什地区福利彩票发行中心隶属喀什地区民政局，自收自支事业单位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.我</w:t>
      </w:r>
      <w:r>
        <w:rPr>
          <w:rFonts w:hint="eastAsia" w:ascii="仿宋_GB2312" w:hAnsi="仿宋_GB2312" w:eastAsia="仿宋_GB2312" w:cs="仿宋_GB2312"/>
          <w:sz w:val="32"/>
          <w:szCs w:val="32"/>
        </w:rPr>
        <w:t>中心始终坚持“扶老、助残、救孤、济困、赈灾”的发行宗旨，在喀什地区范围内发行福利彩票，为国家筹集公益金。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喀地财</w:t>
      </w:r>
      <w:r>
        <w:rPr>
          <w:rFonts w:hint="eastAsia" w:ascii="宋体" w:hAnsi="宋体" w:eastAsia="宋体" w:cs="宋体"/>
          <w:sz w:val="32"/>
          <w:szCs w:val="32"/>
          <w:lang w:eastAsia="zh-CN" w:bidi="ar"/>
        </w:rPr>
        <w:t>[</w:t>
      </w:r>
      <w:r>
        <w:rPr>
          <w:rFonts w:hint="eastAsia" w:ascii="宋体" w:hAnsi="宋体" w:eastAsia="宋体" w:cs="宋体"/>
          <w:sz w:val="32"/>
          <w:szCs w:val="32"/>
          <w:lang w:val="en-US" w:eastAsia="zh-CN" w:bidi="ar"/>
        </w:rPr>
        <w:t>2018</w:t>
      </w:r>
      <w:r>
        <w:rPr>
          <w:rFonts w:hint="eastAsia" w:ascii="宋体" w:hAnsi="宋体" w:eastAsia="宋体" w:cs="宋体"/>
          <w:sz w:val="32"/>
          <w:szCs w:val="32"/>
          <w:lang w:eastAsia="zh-CN" w:bidi="ar"/>
        </w:rPr>
        <w:t>]</w:t>
      </w:r>
      <w:r>
        <w:rPr>
          <w:rFonts w:hint="eastAsia" w:ascii="宋体" w:hAnsi="宋体" w:eastAsia="宋体" w:cs="宋体"/>
          <w:sz w:val="32"/>
          <w:szCs w:val="32"/>
          <w:lang w:val="en-US" w:eastAsia="zh-CN" w:bidi="ar"/>
        </w:rPr>
        <w:t>49号文件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立项，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用于2019年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福利彩票销售网点运维服务费及彩票销售网点通讯费。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adjustRightInd w:val="0"/>
        <w:snapToGrid w:val="0"/>
        <w:spacing w:line="360" w:lineRule="auto"/>
        <w:ind w:firstLine="468" w:firstLineChars="150"/>
        <w:outlineLvl w:val="0"/>
        <w:rPr>
          <w:rStyle w:val="15"/>
          <w:rFonts w:ascii="仿宋_GB2312" w:hAnsi="仿宋_GB2312" w:eastAsia="仿宋_GB2312" w:cs="仿宋_GB2312"/>
          <w:color w:val="000000" w:themeColor="text1"/>
          <w:spacing w:val="-4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本项目位于喀什市文化路47号，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项目资金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共计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345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万元，其中财政资金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345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其他资金0万元，资金到位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0"/>
          <w:szCs w:val="30"/>
          <w14:textFill>
            <w14:solidFill>
              <w14:schemeClr w14:val="tx1"/>
            </w14:solidFill>
          </w14:textFill>
        </w:rPr>
        <w:t>资金到位率100%。</w:t>
      </w:r>
    </w:p>
    <w:p>
      <w:pPr>
        <w:spacing w:line="540" w:lineRule="exact"/>
        <w:ind w:firstLine="640"/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为保障福利彩票发行机构基本运转，进行</w:t>
      </w: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福利彩票市场调控资金</w:t>
      </w: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项目，主要内容包括投注站运维管理费，及投注终端通信费。</w:t>
      </w:r>
    </w:p>
    <w:p>
      <w:pPr>
        <w:adjustRightInd w:val="0"/>
        <w:snapToGrid w:val="0"/>
        <w:spacing w:line="360" w:lineRule="auto"/>
        <w:ind w:firstLine="480" w:firstLineChars="150"/>
        <w:outlineLvl w:val="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经过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充分调研，制定实施方案，项目实施过程中严格按照实施方案进行实施并及时进行监督管理，项目实施后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及时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进行及时验收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并进行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后期维护。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刘勇</w:t>
      </w:r>
      <w:r>
        <w:rPr>
          <w:rFonts w:hint="eastAsia" w:ascii="仿宋_GB2312" w:hAnsi="仿宋" w:eastAsia="仿宋_GB2312" w:cs="宋体"/>
          <w:sz w:val="32"/>
          <w:szCs w:val="32"/>
        </w:rPr>
        <w:t>，主要职责为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对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项目进度情况进行督导检查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eastAsia="zh-CN"/>
        </w:rPr>
        <w:t>及资金管理。</w:t>
      </w:r>
    </w:p>
    <w:p>
      <w:pPr>
        <w:adjustRightInd w:val="0"/>
        <w:snapToGrid w:val="0"/>
        <w:spacing w:line="360" w:lineRule="auto"/>
        <w:ind w:firstLine="480" w:firstLineChars="150"/>
        <w:outlineLvl w:val="0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345万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元，资金来源为自治区专项资金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345万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0"/>
          <w:szCs w:val="30"/>
          <w14:textFill>
            <w14:solidFill>
              <w14:schemeClr w14:val="tx1"/>
            </w14:solidFill>
          </w14:textFill>
        </w:rPr>
        <w:t>资金到位率100%。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福利彩票市场调控资金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的使用范围：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喀什地区福利彩票发行中心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制定了</w:t>
      </w: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福利彩票市场调控资金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管理办法，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</w:rPr>
        <w:t>要用于支付2019福利彩票销售网点运维服务费及彩票销售网点通讯费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严格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新财综〔2018〕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文件要求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进行使用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1.完成320个销售网点2019年1-12月终端通讯费49.96万元。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2.支付完成16名销售网点营销管理员运维服务费295.54万元。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3.保障彩票销售站点正常运转，带动彩票销售收入增长≥2%。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4.筹集社会公益金增长≥2%。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5.工作成绩及服务对象满意度≥95%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个，绩效目标申报表详见附件1。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《自治区财政支出绩效评价管理暂行办法》（新财预〔</w:t>
      </w:r>
      <w:r>
        <w:rPr>
          <w:rFonts w:ascii="仿宋_GB2312" w:hAnsi="仿宋" w:eastAsia="仿宋_GB2312" w:cs="宋体"/>
          <w:sz w:val="32"/>
          <w:szCs w:val="32"/>
          <w:lang w:bidi="ar"/>
        </w:rPr>
        <w:t>2018〕189号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福利彩票市场调控资金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通过评价有效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保证项目质量和成本控制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对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评价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过程中发现的问题及时督促整改，确保了项目按时保质完成。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通过评价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使资金使用效益最大化，减少不必要的浪费，节约成本。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Style w:val="15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福利彩票市场调控资金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  <w:color w:val="000000" w:themeColor="text1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号共性指标及个性化指标设置，</w:t>
      </w:r>
      <w:r>
        <w:rPr>
          <w:rFonts w:hint="eastAsia"/>
          <w:b w:val="0"/>
          <w:color w:val="000000" w:themeColor="text1"/>
          <w:lang w:bidi="ar"/>
          <w14:textFill>
            <w14:solidFill>
              <w14:schemeClr w14:val="tx1"/>
            </w14:solidFill>
          </w14:textFill>
        </w:rPr>
        <w:t>详见附件2。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本次绩效评价方法的选用坚持简便有效的原则采用综合分析法。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lang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行业标准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刘勇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王然学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唐新宇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000000" w:themeColor="text1"/>
          <w:highlight w:val="none"/>
          <w:lang w:bidi="ar"/>
          <w14:textFill>
            <w14:solidFill>
              <w14:schemeClr w14:val="tx1"/>
            </w14:solidFill>
          </w14:textFill>
        </w:rPr>
      </w:pPr>
      <w:bookmarkStart w:id="7" w:name="_Toc26401558"/>
      <w:r>
        <w:rPr>
          <w:rFonts w:hint="eastAsia" w:ascii="黑体" w:hAnsi="黑体"/>
          <w:highlight w:val="none"/>
        </w:rPr>
        <w:t>综合评价情况及评价结论</w:t>
      </w:r>
      <w:r>
        <w:rPr>
          <w:rFonts w:hint="eastAsia" w:ascii="仿宋_GB2312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（附相关评分表）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100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分，评价结果为优详见附件4。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本项目的立项符合相关法规政策及部门职责，依据充分；项目按照规定的程序申请设立；审批文件、材料符合相关要求；项目前期已经过必要的可行性研究、风险评估、绩效评估、集体决策。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与年度目标相适应，用以反映和考核项目预算编制的科学性、合理性情况。项目预算资金分配是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经过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测算依据，与补助单位相适应。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并能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在项目组织实施方面，项目单位制定或具有相应的财务和业务管理制度，财务和业务管理制度合法、合规、完整。项目实施遵守相关法律法规和相关管理规定。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运维管理员人数(人)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预期指标是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际完成值是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16人，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投注终端数量（台）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预期指标是300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</w:t>
      </w:r>
      <w:r>
        <w:rPr>
          <w:rFonts w:hint="eastAsia" w:ascii="仿宋_GB2312" w:hAnsi="仿宋_GB2312" w:eastAsia="仿宋_GB2312" w:cs="仿宋_GB2312"/>
          <w:sz w:val="32"/>
          <w:szCs w:val="32"/>
        </w:rPr>
        <w:t>，实际完成值是300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项目产出质量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项目建设验收合格率（%）</w:t>
      </w:r>
      <w:r>
        <w:rPr>
          <w:rFonts w:hint="eastAsia" w:ascii="仿宋_GB2312" w:hAnsi="仿宋_GB2312" w:eastAsia="仿宋_GB2312" w:cs="仿宋_GB2312"/>
          <w:sz w:val="32"/>
          <w:szCs w:val="32"/>
        </w:rPr>
        <w:t>预期指标是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际完成值是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销售网点终端覆盖率（%）</w:t>
      </w:r>
      <w:r>
        <w:rPr>
          <w:rFonts w:hint="eastAsia" w:ascii="仿宋_GB2312" w:hAnsi="仿宋_GB2312" w:eastAsia="仿宋_GB2312" w:cs="仿宋_GB2312"/>
          <w:sz w:val="32"/>
          <w:szCs w:val="32"/>
        </w:rPr>
        <w:t>预期指标是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</w:rPr>
        <w:t>际完成值是100%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采购设备验收合格率（%）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</w:rPr>
        <w:t>期指标是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际完成值是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按时足额支付相关费用（%）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</w:rPr>
        <w:t>期指标是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100%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运维服务费用（万元）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</w:rPr>
        <w:t>期指标是295.54实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际完成值是</w:t>
      </w:r>
      <w:r>
        <w:rPr>
          <w:rFonts w:hint="eastAsia" w:ascii="仿宋_GB2312" w:hAnsi="仿宋_GB2312" w:eastAsia="仿宋_GB2312" w:cs="仿宋_GB2312"/>
          <w:sz w:val="32"/>
          <w:szCs w:val="32"/>
        </w:rPr>
        <w:t>295.54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投注终端通信费（万元）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</w:rPr>
        <w:t>期指标是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49.96，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际完成值是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,49.96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40" w:firstLineChars="200"/>
        <w:rPr>
          <w:rFonts w:hint="default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ascii="仿宋_GB2312" w:hAnsi="仿宋" w:eastAsia="仿宋_GB2312" w:cs="宋体"/>
          <w:bCs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  <w:lang w:eastAsia="zh-CN"/>
        </w:rPr>
        <w:t>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指标为筹集社会公益金增长率（≥%），预期指标值为2%，实际完成值为2%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指标为福利彩票事业持续发展，预期指标值为</w:t>
      </w:r>
      <w:r>
        <w:rPr>
          <w:rFonts w:hint="eastAsia" w:ascii="仿宋_GB2312" w:eastAsia="仿宋_GB2312"/>
          <w:sz w:val="32"/>
          <w:szCs w:val="32"/>
          <w:lang w:eastAsia="zh-CN"/>
        </w:rPr>
        <w:t>长期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经问卷调查项目收益群众满意度为群众满意度（%</w:t>
      </w:r>
      <w:r>
        <w:rPr>
          <w:rFonts w:hint="eastAsia" w:ascii="仿宋_GB2312" w:eastAsia="仿宋_GB2312"/>
          <w:sz w:val="32"/>
          <w:szCs w:val="32"/>
        </w:rPr>
        <w:t>预期指标值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95%，</w:t>
      </w:r>
      <w:r>
        <w:rPr>
          <w:rFonts w:hint="eastAsia" w:ascii="仿宋_GB2312" w:eastAsia="仿宋_GB2312"/>
          <w:sz w:val="32"/>
          <w:szCs w:val="32"/>
        </w:rPr>
        <w:t>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95%，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rFonts w:hint="eastAsia" w:eastAsia="仿宋_GB2312"/>
          <w:b w:val="0"/>
          <w:lang w:eastAsia="zh-CN" w:bidi="ar"/>
        </w:rPr>
      </w:pPr>
      <w:r>
        <w:rPr>
          <w:rFonts w:hint="eastAsia"/>
          <w:b w:val="0"/>
          <w:lang w:bidi="ar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《项目日常检查监督机制》</w:t>
      </w:r>
      <w:r>
        <w:rPr>
          <w:rFonts w:hint="eastAsia"/>
          <w:b w:val="0"/>
          <w:lang w:bidi="ar"/>
        </w:rPr>
        <w:t>方式使项目取得了良好的效果</w:t>
      </w:r>
      <w:r>
        <w:rPr>
          <w:rFonts w:hint="eastAsia"/>
          <w:b w:val="0"/>
          <w:lang w:eastAsia="zh-CN" w:bidi="ar"/>
        </w:rPr>
        <w:t>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/>
          <w:b w:val="0"/>
          <w:lang w:bidi="ar"/>
        </w:rPr>
        <w:t xml:space="preserve"> </w:t>
      </w:r>
      <w:r>
        <w:rPr>
          <w:b w:val="0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通过预算绩效管理，发现了工作中存在的不足，如前期资金使用因未及时做出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福利彩票市场场调控资金使用方案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，未按期支付，导致了资金滞缓，影响了项目的进度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福利彩票发行中心彩票市场调控资金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福利彩票发行中心彩票市场调控资金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福利彩票发行中心彩票市场调控资金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附件4：绩效评价依据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附件5：喀什地区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福利彩票发行中心彩票市场调控资金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altName w:val="PMingLiU-ExtB"/>
    <w:panose1 w:val="02020309000000000000"/>
    <w:charset w:val="88"/>
    <w:family w:val="modern"/>
    <w:pitch w:val="default"/>
    <w:sig w:usb0="00000000" w:usb1="00000000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2D92F42"/>
    <w:rsid w:val="16A409CD"/>
    <w:rsid w:val="24E73B1F"/>
    <w:rsid w:val="26F03C06"/>
    <w:rsid w:val="2A547683"/>
    <w:rsid w:val="350A7AD9"/>
    <w:rsid w:val="42D34EF7"/>
    <w:rsid w:val="43562513"/>
    <w:rsid w:val="51927EAB"/>
    <w:rsid w:val="55A8776F"/>
    <w:rsid w:val="58F0366B"/>
    <w:rsid w:val="66163F0E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标题 1 字符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13</TotalTime>
  <ScaleCrop>false</ScaleCrop>
  <LinksUpToDate>false</LinksUpToDate>
  <CharactersWithSpaces>6006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Apple</cp:lastModifiedBy>
  <dcterms:modified xsi:type="dcterms:W3CDTF">2020-09-05T05:31:49Z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