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计划生育宣传教育技术所业务经费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  <w:bookmarkStart w:id="8" w:name="_GoBack"/>
      <w:bookmarkEnd w:id="8"/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line="240" w:lineRule="auto"/>
        <w:ind w:firstLine="712" w:firstLineChars="200"/>
        <w:jc w:val="both"/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业务经费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项目</w:t>
      </w:r>
    </w:p>
    <w:p>
      <w:pPr>
        <w:spacing w:line="240" w:lineRule="auto"/>
        <w:ind w:firstLine="712" w:firstLineChars="200"/>
        <w:jc w:val="both"/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喀什地区计划生育宣传教育技术所</w:t>
      </w:r>
    </w:p>
    <w:p>
      <w:pPr>
        <w:spacing w:line="240" w:lineRule="auto"/>
        <w:ind w:firstLine="712" w:firstLineChars="200"/>
        <w:jc w:val="both"/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喀什地区计划生育宣传教育技术所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hint="default" w:ascii="仿宋_GB2312" w:hAnsi="仿宋" w:eastAsia="仿宋_GB2312" w:cs="Times New Roman"/>
          <w:spacing w:val="-2"/>
          <w:sz w:val="36"/>
          <w:szCs w:val="36"/>
          <w:lang w:val="en-US"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十七日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val="en-US" w:eastAsia="zh-CN"/>
        </w:rPr>
        <w:t xml:space="preserve"> 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3"/>
        <w:ind w:left="0" w:firstLine="643" w:firstLineChars="200"/>
        <w:rPr>
          <w:rFonts w:ascii="仿宋_GB2312" w:hAnsi="仿宋" w:eastAsia="仿宋_GB2312" w:cs="宋体"/>
          <w:b/>
          <w:bCs/>
          <w:color w:val="auto"/>
          <w:sz w:val="32"/>
          <w:szCs w:val="32"/>
          <w:lang w:bidi="ar"/>
        </w:rPr>
      </w:pPr>
      <w:bookmarkStart w:id="0" w:name="_Toc26401549"/>
      <w:r>
        <w:rPr>
          <w:rFonts w:hint="eastAsia"/>
          <w:b/>
          <w:bCs/>
          <w:color w:val="auto"/>
          <w:lang w:bidi="ar"/>
        </w:rPr>
        <w:t>项目概况</w:t>
      </w:r>
      <w:bookmarkEnd w:id="0"/>
    </w:p>
    <w:p>
      <w:pPr>
        <w:pStyle w:val="17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《关于拨付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2019年计划生育系统采购经费的通知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》喀地财预</w:t>
      </w:r>
      <w:r>
        <w:rPr>
          <w:rFonts w:hint="eastAsia" w:ascii="微软雅黑" w:hAnsi="微软雅黑" w:eastAsia="微软雅黑" w:cs="微软雅黑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微软雅黑" w:hAnsi="微软雅黑" w:eastAsia="微软雅黑" w:cs="微软雅黑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00001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号文件要求，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项目，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主要用于本单位购买专用材料的药品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医疗消耗材，实验室用品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line="360" w:lineRule="auto"/>
        <w:ind w:firstLine="640" w:firstLineChars="200"/>
        <w:jc w:val="left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本项目性质为延续项目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，属于公用经费项目，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主要用于本单位购买专用材料的药品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制定了该项目的可行性分析报告，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制定实施方案，项目实施过程中严格按照实施方案进行实施并及时进行监督管理，项目实施后是否进行及时验收及后期维护。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hint="default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3.项目负责人为宋杰，主要职责为法人代表负责该项目的总指挥，协调各部对项目的执行进度，资金审批人及项目领导小组组长。</w:t>
      </w:r>
    </w:p>
    <w:p>
      <w:pPr>
        <w:pStyle w:val="23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18万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元，本级部门预算资金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18万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喀什地区计划生育宣传教育技术所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单位制定了业务经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费项目资金管理办法，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按照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喀地财预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〔2019〕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00001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号文件进行使用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该项目资金。</w:t>
      </w:r>
    </w:p>
    <w:p>
      <w:pPr>
        <w:pStyle w:val="23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 xml:space="preserve"> 单位用药品开展单位计生技术服务工作。医疗消耗材。实验室用品，专用服装医务人员白大褂.一次性耗材支出增减变动10次,一次性耗材支出的预算执行率 ≤80%,保障门诊正常运营的各位项目在规定时间完成 12个月,用群众妇女就诊药品耗材费用≤20万元.,提高群众妇女更好的生殖保健医疗服务逐步提高,保障门诊医疗业务正常运行1年,受服务人员满意≥90%</w:t>
      </w:r>
    </w:p>
    <w:p>
      <w:pPr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仿宋_GB2312" w:hAnsi="仿宋" w:eastAsia="仿宋_GB2312" w:cs="宋体"/>
          <w:color w:val="FF0000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8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10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旨在评价业务经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费项目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实施前期、过程及效果，评价财政预算资金使用的效率及效益。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业务经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费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：单位用药品，医疗消耗材，实验室用品，医生工装等项目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3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本次绩效评价方法的选用坚持简便有效的原则采用比较法、因素分析法、问卷调查法、综合分析法。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"/>
        </w:rPr>
        <w:t>项目评价标准采用计划标准、历史标准。</w:t>
      </w:r>
    </w:p>
    <w:p>
      <w:pPr>
        <w:pStyle w:val="23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刘立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中级经济师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沈晓雁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经济师</w:t>
            </w:r>
          </w:p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/>
                <w:b w:val="0"/>
                <w:bCs w:val="0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default" w:eastAsia="仿宋_GB2312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布玛丽亚木</w:t>
            </w:r>
            <w:r>
              <w:rPr>
                <w:rFonts w:hint="eastAsia"/>
                <w:b w:val="0"/>
                <w:bCs w:val="0"/>
                <w:lang w:val="en-US" w:eastAsia="zh-CN" w:bidi="ar"/>
              </w:rPr>
              <w:t>·米吉提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会计师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color w:val="auto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</w:t>
      </w:r>
      <w:r>
        <w:rPr>
          <w:rFonts w:hint="eastAsia"/>
          <w:b w:val="0"/>
          <w:bCs w:val="0"/>
          <w:color w:val="auto"/>
          <w:lang w:bidi="ar"/>
        </w:rPr>
        <w:t>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  <w:rPr>
          <w:color w:val="auto"/>
          <w:highlight w:val="none"/>
          <w:lang w:bidi="ar"/>
        </w:rPr>
      </w:pPr>
      <w:bookmarkStart w:id="7" w:name="_Toc26401558"/>
      <w:r>
        <w:rPr>
          <w:rFonts w:hint="eastAsia" w:ascii="黑体" w:hAnsi="黑体"/>
          <w:color w:val="auto"/>
          <w:highlight w:val="none"/>
        </w:rPr>
        <w:t>综合评价情况及评价结论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经评价组通过实地调研、资料分析等方式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采用比较法、因素分析法、问卷调查法、综合分析法。等对项目的决策、管理、绩效进行的综合评价分析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，项目得分为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97分，评价结果为优，详见附件4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1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6"/>
        <w:ind w:firstLine="64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本项目的立项符合相关法规政策及部门职责，依据充分；按照规定的程序申请设立；审批文件</w:t>
      </w:r>
      <w:r>
        <w:rPr>
          <w:rFonts w:hint="eastAsia" w:ascii="仿宋_GB2312" w:hAnsi="仿宋" w:cs="宋体"/>
          <w:sz w:val="32"/>
          <w:szCs w:val="32"/>
          <w:lang w:eastAsia="zh-CN" w:bidi="ar"/>
        </w:rPr>
        <w:t>。</w:t>
      </w:r>
      <w:r>
        <w:rPr>
          <w:rFonts w:hint="eastAsia" w:ascii="仿宋_GB2312" w:hAnsi="仿宋" w:cs="宋体"/>
          <w:sz w:val="32"/>
          <w:szCs w:val="32"/>
          <w:lang w:bidi="ar"/>
        </w:rPr>
        <w:t>材料符合相关要求；项目前期</w:t>
      </w:r>
      <w:r>
        <w:rPr>
          <w:rFonts w:hint="eastAsia" w:ascii="仿宋_GB2312" w:hAnsi="仿宋" w:cs="宋体"/>
          <w:sz w:val="32"/>
          <w:szCs w:val="32"/>
          <w:lang w:eastAsia="zh-CN" w:bidi="ar"/>
        </w:rPr>
        <w:t>经过</w:t>
      </w:r>
      <w:r>
        <w:rPr>
          <w:rFonts w:hint="eastAsia" w:ascii="仿宋_GB2312" w:hAnsi="仿宋" w:cs="宋体"/>
          <w:sz w:val="32"/>
          <w:szCs w:val="32"/>
          <w:lang w:bidi="ar"/>
        </w:rPr>
        <w:t>风险评估、绩效评估、集体决策</w:t>
      </w:r>
      <w:r>
        <w:rPr>
          <w:rFonts w:hint="eastAsia" w:ascii="仿宋_GB2312" w:hAnsi="仿宋" w:cs="宋体"/>
          <w:sz w:val="32"/>
          <w:szCs w:val="32"/>
          <w:lang w:eastAsia="zh-CN" w:bidi="ar"/>
        </w:rPr>
        <w:t>认为本项目安全可行。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项目在资金投入方面，预算编制是经过科学论证、有明确标准，资金额度与年度目标相适应，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可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以反映和考核项目预算编制的科学性。项目预算资金分配有测算依据，与补助单位实际相适应。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在资金管理方面，项目资金到位及时，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且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及时支付，资金使用符合国家法规和财务管理制度；资金拨付有完整的审批程序和手续，符合项目预算批复的用途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不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产出数量</w:t>
      </w:r>
      <w:r>
        <w:rPr>
          <w:rFonts w:hint="eastAsia" w:ascii="仿宋_GB2312" w:eastAsia="仿宋_GB2312"/>
          <w:sz w:val="32"/>
          <w:szCs w:val="32"/>
          <w:lang w:eastAsia="zh-CN"/>
        </w:rPr>
        <w:t>指标为严格控制药品黑热一次性耗材支出增减变动(≤*次)，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10次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10次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产出质量指标：严格控制药品黑热一次性耗材支出的预算执行率（≤*%），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产出时效指标购置专用材料是否按时供货，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15个工作日供货 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15个工作日内完成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产出时效指标保障门诊正常运营的各位项目在规定时间完成（月），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12个月 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12个月，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成本指标为专用服装医务人员白大褂（≤*万元），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1万元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成本指标为</w:t>
      </w:r>
      <w:r>
        <w:rPr>
          <w:rFonts w:hint="eastAsia" w:ascii="仿宋_GB2312" w:eastAsia="仿宋_GB2312"/>
          <w:color w:val="auto"/>
          <w:sz w:val="32"/>
          <w:szCs w:val="32"/>
        </w:rPr>
        <w:t>用群众妇女就诊药品耗材费用(≤*万元)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12万元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，其原因为：由于本单位各部门根据节约资金节约成本的原则，全年实际使用药品耗材共计12万，比预计目标节约了5万。整改措施是：以后的年度继续坚持节约资金节约成本，</w:t>
      </w:r>
      <w:r>
        <w:rPr>
          <w:rFonts w:hint="eastAsia" w:ascii="仿宋_GB2312" w:eastAsia="仿宋_GB2312"/>
          <w:sz w:val="32"/>
          <w:szCs w:val="32"/>
        </w:rPr>
        <w:t>大幅度超过预期目标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7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指标为提高群众妇女更好的生殖保健医疗服务，预期指标值为提高群众妇女更好的生殖保健医疗服务，实际完成值为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指标为购置专用材料质量合格率（%），预期指标值为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指标为保障门诊医疗业务正常运行可持续，预期指标值为可持续，实际完成值为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项目收益群众满意度为：受服务人员满意（≥*%）</w:t>
      </w:r>
      <w:r>
        <w:rPr>
          <w:rFonts w:hint="eastAsia" w:ascii="仿宋_GB2312" w:eastAsia="仿宋_GB2312"/>
          <w:sz w:val="32"/>
          <w:szCs w:val="32"/>
        </w:rPr>
        <w:t>预期指标值为95%，实际完成值为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</w:p>
    <w:p>
      <w:pPr>
        <w:pStyle w:val="21"/>
        <w:numPr>
          <w:ilvl w:val="0"/>
          <w:numId w:val="0"/>
        </w:numPr>
        <w:rPr>
          <w:lang w:bidi="ar"/>
        </w:rPr>
      </w:pPr>
      <w:r>
        <w:rPr>
          <w:rFonts w:hint="eastAsia" w:ascii="黑体" w:hAnsi="黑体"/>
          <w:lang w:eastAsia="zh-CN"/>
        </w:rPr>
        <w:t>五、</w:t>
      </w: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本项目实施效果较好的原因主要是管理制度完善、责任落实到位，跟踪考核机制完善且运行有效，在项目实施过程中创新管理办法，采用实地调研、资料分析等方式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采用比较法、因素分析法、问卷调查法、综合分析法。等对项目的决策、管理、绩效进行的综合评价分析，评价结果为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良。</w:t>
      </w:r>
    </w:p>
    <w:p>
      <w:pPr>
        <w:numPr>
          <w:ilvl w:val="0"/>
          <w:numId w:val="8"/>
        </w:num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存在的问题及原因分析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通过预算绩效管理，发现了工作中存在的不足，该项目存在的问题因为单位负责人退休，所以项目没有办法按时开展，没有付完的5万元被财政局国库科已收回。</w:t>
      </w:r>
    </w:p>
    <w:p>
      <w:pPr>
        <w:numPr>
          <w:ilvl w:val="0"/>
          <w:numId w:val="0"/>
        </w:numPr>
        <w:spacing w:before="156" w:beforeLines="50" w:line="600" w:lineRule="exact"/>
        <w:rPr>
          <w:rFonts w:hint="eastAsia" w:ascii="仿宋_GB2312" w:hAnsi="仿宋" w:eastAsia="仿宋_GB2312" w:cs="宋体"/>
          <w:sz w:val="32"/>
          <w:szCs w:val="32"/>
          <w:lang w:bidi="ar"/>
        </w:rPr>
      </w:pPr>
    </w:p>
    <w:p>
      <w:pPr>
        <w:pStyle w:val="23"/>
        <w:numPr>
          <w:ilvl w:val="0"/>
          <w:numId w:val="0"/>
        </w:numPr>
        <w:rPr>
          <w:b w:val="0"/>
          <w:lang w:bidi="ar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 </w:t>
      </w:r>
    </w:p>
    <w:p>
      <w:pPr>
        <w:pStyle w:val="21"/>
        <w:numPr>
          <w:ilvl w:val="0"/>
          <w:numId w:val="0"/>
        </w:numPr>
        <w:ind w:left="643" w:leftChars="0"/>
        <w:rPr>
          <w:rFonts w:ascii="黑体" w:hAnsi="黑体"/>
        </w:rPr>
      </w:pPr>
      <w:r>
        <w:rPr>
          <w:rFonts w:hint="eastAsia" w:ascii="黑体" w:hAnsi="黑体"/>
          <w:lang w:eastAsia="zh-CN"/>
        </w:rPr>
        <w:t>六、</w:t>
      </w:r>
      <w:r>
        <w:rPr>
          <w:rFonts w:hint="eastAsia" w:ascii="黑体" w:hAnsi="黑体"/>
        </w:rPr>
        <w:t>有关建议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  </w: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年初做好资金计划，按照项目进度及时拨付资金，使资金使用效益最大化，减少不必要的浪费，节约成本。</w:t>
      </w:r>
    </w:p>
    <w:p>
      <w:pPr>
        <w:pStyle w:val="21"/>
        <w:numPr>
          <w:ilvl w:val="0"/>
          <w:numId w:val="0"/>
        </w:numPr>
        <w:ind w:firstLine="643" w:firstLineChars="200"/>
        <w:rPr>
          <w:rFonts w:ascii="黑体" w:hAnsi="黑体"/>
        </w:rPr>
      </w:pPr>
      <w:r>
        <w:rPr>
          <w:rFonts w:hint="eastAsia" w:ascii="黑体" w:hAnsi="黑体"/>
          <w:lang w:eastAsia="zh-CN"/>
        </w:rPr>
        <w:t>七、</w:t>
      </w:r>
      <w:r>
        <w:rPr>
          <w:rFonts w:hint="eastAsia" w:ascii="黑体" w:hAnsi="黑体"/>
        </w:rPr>
        <w:t>其他需要说明的问题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无</w:t>
      </w:r>
    </w:p>
    <w:p>
      <w:pPr>
        <w:tabs>
          <w:tab w:val="left" w:pos="6975"/>
        </w:tabs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ab/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附件1：喀什地区喀什地区计划生育宣传教育技术所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业务经费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：喀什地区喀什地区计划生育宣传教育技术所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业务经费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附件3：喀什地区喀什地区计划生育宣传教育技术所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业务经费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：喀什地区喀什地区计划生育宣传教育技术所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业务经费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：喀什地区喀什地区计划生育宣传教育技术所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业务经费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95B8C9"/>
    <w:multiLevelType w:val="singleLevel"/>
    <w:tmpl w:val="9C95B8C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0"/>
  <w:drawingGridHorizontalSpacing w:val="21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27E7736"/>
    <w:rsid w:val="10745E06"/>
    <w:rsid w:val="12766F50"/>
    <w:rsid w:val="13B019B7"/>
    <w:rsid w:val="14531353"/>
    <w:rsid w:val="149E36CF"/>
    <w:rsid w:val="18E24BF5"/>
    <w:rsid w:val="217F35A7"/>
    <w:rsid w:val="2480317F"/>
    <w:rsid w:val="24E73B1F"/>
    <w:rsid w:val="250A1467"/>
    <w:rsid w:val="25F500FD"/>
    <w:rsid w:val="26F03C06"/>
    <w:rsid w:val="2A547683"/>
    <w:rsid w:val="31D03519"/>
    <w:rsid w:val="3D071A1C"/>
    <w:rsid w:val="45A90D08"/>
    <w:rsid w:val="464D57F2"/>
    <w:rsid w:val="57964064"/>
    <w:rsid w:val="5C422536"/>
    <w:rsid w:val="5D2C764C"/>
    <w:rsid w:val="60004D9C"/>
    <w:rsid w:val="607B701F"/>
    <w:rsid w:val="65857E43"/>
    <w:rsid w:val="65CE69B5"/>
    <w:rsid w:val="667765BF"/>
    <w:rsid w:val="69220FD5"/>
    <w:rsid w:val="6D3B7952"/>
    <w:rsid w:val="757C5EF9"/>
    <w:rsid w:val="76F92DE6"/>
    <w:rsid w:val="7775238E"/>
    <w:rsid w:val="77BB59AB"/>
    <w:rsid w:val="7A8638D9"/>
    <w:rsid w:val="7B8016A6"/>
    <w:rsid w:val="7BFA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1 字符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4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20</TotalTime>
  <ScaleCrop>false</ScaleCrop>
  <LinksUpToDate>false</LinksUpToDate>
  <CharactersWithSpaces>6006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2020-09-05T10:22:12Z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