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方正小标宋简体" w:eastAsia="方正小标宋简体"/>
          <w:sz w:val="44"/>
          <w:szCs w:val="44"/>
        </w:rPr>
      </w:pPr>
      <w:bookmarkStart w:id="8" w:name="_GoBack"/>
      <w:bookmarkEnd w:id="8"/>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r>
        <w:rPr>
          <w:rFonts w:hint="eastAsia" w:ascii="方正小标宋简体" w:eastAsia="方正小标宋简体"/>
          <w:sz w:val="44"/>
          <w:szCs w:val="44"/>
          <w:lang w:eastAsia="zh-CN"/>
        </w:rPr>
        <w:t>喀什地区结核病防治所防痨科下达2018年公共卫生服务补助资金</w:t>
      </w:r>
      <w:r>
        <w:rPr>
          <w:rFonts w:hint="eastAsia" w:ascii="方正小标宋简体" w:eastAsia="方正小标宋简体"/>
          <w:sz w:val="44"/>
          <w:szCs w:val="44"/>
        </w:rPr>
        <w:t>项目支出绩效评价报告</w:t>
      </w: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项目名称：下达2018年公共卫生服务补助资金</w:t>
      </w:r>
    </w:p>
    <w:p>
      <w:pPr>
        <w:autoSpaceDE w:val="0"/>
        <w:autoSpaceDN w:val="0"/>
        <w:spacing w:line="540" w:lineRule="exact"/>
        <w:ind w:firstLine="712" w:firstLineChars="200"/>
        <w:rPr>
          <w:rFonts w:hint="eastAsia" w:ascii="仿宋_GB2312" w:hAnsi="仿宋" w:eastAsia="仿宋_GB2312" w:cs="Times New Roman"/>
          <w:spacing w:val="-2"/>
          <w:sz w:val="36"/>
          <w:szCs w:val="36"/>
          <w:lang w:val="en-US" w:eastAsia="zh-CN"/>
        </w:rPr>
      </w:pPr>
      <w:r>
        <w:rPr>
          <w:rFonts w:hint="eastAsia" w:ascii="仿宋_GB2312" w:hAnsi="仿宋" w:eastAsia="仿宋_GB2312" w:cs="Times New Roman"/>
          <w:spacing w:val="-2"/>
          <w:sz w:val="36"/>
          <w:szCs w:val="36"/>
        </w:rPr>
        <w:t>实施单位：</w:t>
      </w:r>
      <w:r>
        <w:rPr>
          <w:rFonts w:hint="eastAsia" w:ascii="仿宋_GB2312" w:hAnsi="仿宋" w:eastAsia="仿宋_GB2312" w:cs="Times New Roman"/>
          <w:spacing w:val="-2"/>
          <w:sz w:val="36"/>
          <w:szCs w:val="36"/>
          <w:lang w:eastAsia="zh-CN"/>
        </w:rPr>
        <w:t>喀什地区结核病防治所防痨科</w:t>
      </w:r>
    </w:p>
    <w:p>
      <w:pPr>
        <w:autoSpaceDE w:val="0"/>
        <w:autoSpaceDN w:val="0"/>
        <w:spacing w:line="540" w:lineRule="exact"/>
        <w:ind w:firstLine="712" w:firstLineChars="200"/>
        <w:rPr>
          <w:rFonts w:hint="eastAsia" w:ascii="仿宋_GB2312" w:hAnsi="仿宋" w:eastAsia="仿宋_GB2312" w:cs="Times New Roman"/>
          <w:spacing w:val="-2"/>
          <w:sz w:val="36"/>
          <w:szCs w:val="36"/>
          <w:lang w:eastAsia="zh-CN"/>
        </w:rPr>
      </w:pPr>
      <w:r>
        <w:rPr>
          <w:rFonts w:hint="eastAsia" w:ascii="仿宋_GB2312" w:hAnsi="仿宋" w:eastAsia="仿宋_GB2312" w:cs="Times New Roman"/>
          <w:spacing w:val="-2"/>
          <w:sz w:val="36"/>
          <w:szCs w:val="36"/>
        </w:rPr>
        <w:t>评价部门：</w:t>
      </w:r>
      <w:r>
        <w:rPr>
          <w:rFonts w:hint="eastAsia" w:ascii="仿宋_GB2312" w:hAnsi="仿宋" w:eastAsia="仿宋_GB2312" w:cs="Times New Roman"/>
          <w:spacing w:val="-2"/>
          <w:sz w:val="36"/>
          <w:szCs w:val="36"/>
          <w:lang w:eastAsia="zh-CN"/>
        </w:rPr>
        <w:t>喀什地区结核病防治所防痨科</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56" w:beforeLines="50" w:line="0" w:lineRule="atLeast"/>
        <w:jc w:val="left"/>
        <w:rPr>
          <w:sz w:val="28"/>
          <w:szCs w:val="28"/>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pStyle w:val="21"/>
        <w:numPr>
          <w:ilvl w:val="0"/>
          <w:numId w:val="2"/>
        </w:numPr>
        <w:ind w:firstLineChars="0"/>
        <w:rPr>
          <w:lang w:bidi="ar"/>
        </w:rPr>
      </w:pPr>
      <w:r>
        <w:rPr>
          <w:rFonts w:hint="eastAsia"/>
          <w:lang w:bidi="ar"/>
        </w:rPr>
        <w:t>基本情况</w:t>
      </w:r>
    </w:p>
    <w:p>
      <w:pPr>
        <w:pStyle w:val="23"/>
        <w:ind w:left="0" w:firstLine="643" w:firstLineChars="200"/>
        <w:rPr>
          <w:lang w:bidi="ar"/>
        </w:rPr>
      </w:pPr>
      <w:bookmarkStart w:id="0" w:name="_Toc26401549"/>
      <w:r>
        <w:rPr>
          <w:rFonts w:hint="eastAsia"/>
          <w:lang w:bidi="ar"/>
        </w:rPr>
        <w:t>项目概况</w:t>
      </w:r>
      <w:bookmarkEnd w:id="0"/>
    </w:p>
    <w:p>
      <w:pPr>
        <w:pStyle w:val="17"/>
        <w:numPr>
          <w:ilvl w:val="0"/>
          <w:numId w:val="3"/>
        </w:numPr>
        <w:spacing w:before="156" w:beforeLines="50" w:line="600" w:lineRule="exact"/>
        <w:ind w:firstLineChars="0"/>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sz w:val="32"/>
          <w:szCs w:val="32"/>
          <w:lang w:bidi="ar"/>
        </w:rPr>
        <w:t>项目背景及立项依据</w:t>
      </w:r>
    </w:p>
    <w:p>
      <w:pPr>
        <w:pStyle w:val="17"/>
        <w:keepNext w:val="0"/>
        <w:keepLines w:val="0"/>
        <w:pageBreakBefore w:val="0"/>
        <w:widowControl w:val="0"/>
        <w:numPr>
          <w:ilvl w:val="0"/>
          <w:numId w:val="0"/>
        </w:numPr>
        <w:kinsoku/>
        <w:wordWrap/>
        <w:overflowPunct/>
        <w:topLinePunct w:val="0"/>
        <w:autoSpaceDE/>
        <w:autoSpaceDN/>
        <w:bidi w:val="0"/>
        <w:adjustRightInd/>
        <w:snapToGrid/>
        <w:spacing w:before="156" w:beforeLines="50" w:line="600" w:lineRule="exact"/>
        <w:ind w:left="0" w:leftChars="0" w:firstLine="640" w:firstLineChars="200"/>
        <w:textAlignment w:val="auto"/>
        <w:rPr>
          <w:rFonts w:hint="eastAsia" w:ascii="仿宋_GB2312" w:hAnsi="仿宋" w:eastAsia="仿宋_GB2312" w:cs="宋体"/>
          <w:kern w:val="2"/>
          <w:sz w:val="32"/>
          <w:szCs w:val="32"/>
          <w:lang w:val="en-US" w:eastAsia="zh-CN" w:bidi="ar"/>
        </w:rPr>
      </w:pPr>
      <w:r>
        <w:rPr>
          <w:rFonts w:hint="eastAsia" w:ascii="仿宋_GB2312" w:hAnsi="仿宋" w:eastAsia="仿宋_GB2312" w:cs="宋体"/>
          <w:kern w:val="2"/>
          <w:sz w:val="32"/>
          <w:szCs w:val="32"/>
          <w:lang w:val="en-US" w:eastAsia="zh-CN" w:bidi="ar"/>
        </w:rPr>
        <w:t>本项目根据根据自治区《关于下达2018年公共卫生服务项目补助资金预算的通知》（新财社【2017】247号），要求，自治区下达年度总目标为可疑患者检查数29968人次以上，登记治疗活动性肺结核患者数4194人次以上，病原学检査阳性肺结核患者的密切接触者检查数8021人次以上，报告患者追踪数3260人次以上，筛查耐药可疑者人数1245人次以上。报告肺结核患者和疑似肺结核患者的总体到位率90%以上，病原学检査阳性肺结核患者的密切接触者筛查率95%以上，肺结核患者病原学阳性率25%以上，耐多药肺结核高危人群耐药筛查率60%以上，肺结核患者成功治疗率85%以上，基层医疗卫生机构肺结核患者规范管理85%以上，所有定点医疗机构具备开展痰涂片、培养、结核病分子生物学诊断的能力90%以上。积极落实各项防治结核病措施，继续开展结核病筛查，做好精准筛查，强化人员培训，提升人员能力，提高肺结核患者管理水平，为规范化肺结核患者服药管理，减少新发肺结核患者带来的其他人群感染。</w:t>
      </w:r>
    </w:p>
    <w:p>
      <w:pPr>
        <w:pStyle w:val="17"/>
        <w:numPr>
          <w:ilvl w:val="0"/>
          <w:numId w:val="3"/>
        </w:numPr>
        <w:spacing w:before="156" w:beforeLines="50" w:line="600" w:lineRule="exact"/>
        <w:ind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spacing w:before="156" w:beforeLines="50" w:line="600" w:lineRule="exact"/>
        <w:ind w:firstLine="645"/>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eastAsia="zh-CN" w:bidi="ar"/>
        </w:rPr>
        <w:t>项目严格按照行业部门专项管理办法，做好事前准备工作和实施计划，人员组织合理，在资金到位后迅速启动，按计划有序实施。实施阶段能及时推进，监督措施有保障，根据进度结合绩效目标的设定，发现问题，及时整改，确保专项按时、保质实施，项目实施完成。项目实施完成后及时组织检查和评价工作，对存在的问题分析总结，为今后同类项目管理提供经验和方法。</w:t>
      </w:r>
    </w:p>
    <w:p>
      <w:pPr>
        <w:spacing w:before="156" w:beforeLines="50" w:line="600" w:lineRule="exact"/>
        <w:ind w:firstLine="645"/>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3.项目负责人为刘振江，主要职责为</w:t>
      </w:r>
      <w:r>
        <w:rPr>
          <w:rFonts w:hint="eastAsia" w:ascii="仿宋_GB2312" w:hAnsi="仿宋" w:eastAsia="仿宋_GB2312" w:cs="宋体"/>
          <w:sz w:val="32"/>
          <w:szCs w:val="32"/>
          <w:lang w:eastAsia="zh-CN" w:bidi="ar"/>
        </w:rPr>
        <w:t>项目监督和全盘工作，对全地区肺结核患者的治疗管理、健康促进等方面，提高全民结核病核心知识，提高肺结核患者治疗依从性，有效减少肺结核患者家庭的经济负担。结核病防治工作的督导、现场指导进一步提高基层结核病防治工作人员的工作能力和整体素质。开展痰培养、药敏和耐药筛查工作，发现耐药肺结核可疑者、确诊耐药肺结核患者并纳入治疗，将耐药肺结核患者集中治疗，有效治疗耐药肺结核患者，减少耐药肺结核的传播。</w:t>
      </w:r>
      <w:r>
        <w:rPr>
          <w:rFonts w:hint="eastAsia" w:ascii="仿宋_GB2312" w:hAnsi="仿宋" w:eastAsia="仿宋_GB2312" w:cs="宋体"/>
          <w:sz w:val="32"/>
          <w:szCs w:val="32"/>
          <w:lang w:val="en-US" w:eastAsia="zh-CN" w:bidi="ar"/>
        </w:rPr>
        <w:t>为提前发现、治疗肺结核患者和耐药肺结核可疑者，有效提高肺结核患者的发现、治疗，达到肺结核患者“早发现、早治疗”的目的，最大程度减少对周围人群的传播。指导各县市疾控中心、结核病定点医院完成了对县、乡、村三级结核病防治人员全员培训，培训覆盖率达到95%以上。编写并印刷了印刷《结核病防治培训手册》和《结核病诊疗培训手册》等工作手册，为各县市结核病相关的人员分类表进行培训，按照手册要求开展结核病防治专项行动。开展全地区结核病疫情监测分析。</w:t>
      </w:r>
    </w:p>
    <w:p>
      <w:pPr>
        <w:pStyle w:val="23"/>
        <w:ind w:left="0" w:firstLine="643" w:firstLineChars="200"/>
        <w:rPr>
          <w:lang w:bidi="ar"/>
        </w:rPr>
      </w:pPr>
      <w:bookmarkStart w:id="1" w:name="_Toc26401550"/>
      <w:r>
        <w:rPr>
          <w:rFonts w:hint="eastAsia"/>
          <w:lang w:bidi="ar"/>
        </w:rPr>
        <w:t>资金</w:t>
      </w:r>
      <w:bookmarkEnd w:id="1"/>
      <w:r>
        <w:rPr>
          <w:rFonts w:hint="eastAsia"/>
          <w:lang w:bidi="ar"/>
        </w:rPr>
        <w:t>投入和使用情况</w:t>
      </w:r>
    </w:p>
    <w:p>
      <w:pPr>
        <w:spacing w:before="156" w:beforeLines="50" w:line="600" w:lineRule="exact"/>
        <w:ind w:firstLine="645"/>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本项目总投资234.56万元，资金来源为中央专项资金234.56万元。</w:t>
      </w:r>
    </w:p>
    <w:p>
      <w:pPr>
        <w:spacing w:before="156" w:beforeLines="50" w:line="600" w:lineRule="exact"/>
        <w:ind w:firstLine="645"/>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下达2018年公共卫生服务补助资金项资金的使用范围：肺结核患者耐药筛查实验室试剂及耗材支出、肺结核防治健康促进印刷宣传材料、宣传品，举办全地区结核病防治和诊断培训,肺结核患者管理信息系统建设设备和结核病防治工作督导、现场指导。</w:t>
      </w:r>
    </w:p>
    <w:p>
      <w:pPr>
        <w:pStyle w:val="2"/>
        <w:keepNext/>
        <w:keepLines w:val="0"/>
        <w:pageBreakBefore w:val="0"/>
        <w:widowControl/>
        <w:kinsoku/>
        <w:wordWrap/>
        <w:overflowPunct/>
        <w:topLinePunct w:val="0"/>
        <w:autoSpaceDE/>
        <w:autoSpaceDN/>
        <w:bidi w:val="0"/>
        <w:adjustRightInd/>
        <w:snapToGrid/>
        <w:spacing w:line="360" w:lineRule="auto"/>
        <w:ind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喀什地区结核病防治所防痨科单位制定了项目资金管理办法，按照自治区下达年度总目标为：可疑患者检查数29968人次以上，登记治疗活动性肺结核患者数4194人次以上，病原学检査阳性肺结核患者的密切接触者检查数8021人次以上，报告患者追踪数3260人次以上，筛查耐药可疑者人数1245人次以上。报告肺结核患者和疑似肺结核患者的总体到位率90%以上，病原学检査阳性肺结核患者的密切接触者筛查率95%以上，肺结核患者病原学阳性率25%以上，耐多药肺结核高危人群耐药筛查率60%以上，肺结核患者成功治疗率85%以上，基层医疗卫生机构肺结核患者规范管理85%以上，所有定点医疗机构具备开展痰涂片、培养、结核病分子生物学诊断的能力90%以上。积极落实各项防治结核病措施，继续开展结核病筛查，做好精准筛查，强化人员培训，提升人员能力，提高肺结核患者管理水平，为规范化肺结核患者服药管理，减少新发肺结核患者带来的其他人群感染。</w:t>
      </w:r>
    </w:p>
    <w:p>
      <w:pPr>
        <w:pStyle w:val="23"/>
        <w:ind w:left="0" w:firstLine="643" w:firstLineChars="200"/>
        <w:rPr>
          <w:lang w:bidi="ar"/>
        </w:rPr>
      </w:pPr>
      <w:bookmarkStart w:id="2" w:name="_Toc26401551"/>
      <w:r>
        <w:rPr>
          <w:rFonts w:hint="eastAsia"/>
          <w:lang w:bidi="ar"/>
        </w:rPr>
        <w:t>绩效目标</w:t>
      </w:r>
      <w:bookmarkEnd w:id="2"/>
    </w:p>
    <w:p>
      <w:pPr>
        <w:pStyle w:val="2"/>
        <w:keepNext/>
        <w:keepLines w:val="0"/>
        <w:pageBreakBefore w:val="0"/>
        <w:widowControl/>
        <w:kinsoku/>
        <w:wordWrap/>
        <w:overflowPunct/>
        <w:topLinePunct w:val="0"/>
        <w:autoSpaceDE/>
        <w:autoSpaceDN/>
        <w:bidi w:val="0"/>
        <w:adjustRightInd/>
        <w:snapToGrid/>
        <w:ind w:firstLine="643"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sz w:val="32"/>
          <w:szCs w:val="32"/>
          <w:lang w:eastAsia="zh-CN" w:bidi="ar"/>
        </w:rPr>
        <w:t>总体目标为：</w:t>
      </w:r>
      <w:r>
        <w:rPr>
          <w:rFonts w:hint="eastAsia" w:ascii="仿宋_GB2312" w:hAnsi="仿宋" w:eastAsia="仿宋_GB2312" w:cs="宋体"/>
          <w:b w:val="0"/>
          <w:bCs w:val="0"/>
          <w:kern w:val="2"/>
          <w:sz w:val="32"/>
          <w:szCs w:val="32"/>
          <w:lang w:val="en-US" w:eastAsia="zh-CN" w:bidi="ar"/>
        </w:rPr>
        <w:t>1.举办全地区结核病防治和诊断培训2次以上。2.全区结核病防治工作督导、现场指导4次以上。3.购置肺结核患者管理信息系统建设设备1套.4.肺结核防治健康促进印刷宣传材料、宣传品310750份以上。5.肺结核患者耐药筛查实验室试剂及耗材940人份以上.6.肺结核患者耐药筛查实验室试剂验收合格率100%。7.举办全地区结核病防治和诊断培训和结核病防治工作督导、现场指导计划2019年12月31日之前完成。8.举办全地区结核病防治诊断培训、结核病防治工作督导、现场指导、肺结核患者管理信息系统建设设备、肺结核防治健康促进印刷宣传材料、宣传品、肺结核患者耐药筛查实验室试剂及耗材和肺结核患者耐药筛查实验室试剂及耗材234.56万元以下。9.通过培训和现场指导提高各基层结核病防治人员的工作能力。10.参加培训人员培训满意度85%以上。</w:t>
      </w:r>
    </w:p>
    <w:p>
      <w:pPr>
        <w:spacing w:before="156" w:beforeLines="50" w:line="600" w:lineRule="exact"/>
        <w:rPr>
          <w:rFonts w:ascii="仿宋_GB2312" w:hAnsi="仿宋" w:eastAsia="仿宋_GB2312" w:cs="宋体"/>
          <w:color w:val="FF0000"/>
          <w:sz w:val="32"/>
          <w:szCs w:val="32"/>
          <w:lang w:bidi="ar"/>
        </w:rPr>
      </w:pPr>
      <w:r>
        <w:rPr>
          <w:rFonts w:hint="eastAsia" w:ascii="仿宋_GB2312" w:hAnsi="仿宋" w:eastAsia="仿宋_GB2312" w:cs="宋体"/>
          <w:sz w:val="32"/>
          <w:szCs w:val="32"/>
          <w:lang w:bidi="ar"/>
        </w:rPr>
        <w:t xml:space="preserve"> </w:t>
      </w:r>
      <w:r>
        <w:rPr>
          <w:rFonts w:ascii="仿宋_GB2312" w:hAnsi="仿宋" w:eastAsia="仿宋_GB2312" w:cs="宋体"/>
          <w:sz w:val="32"/>
          <w:szCs w:val="32"/>
          <w:lang w:bidi="ar"/>
        </w:rPr>
        <w:t xml:space="preserve">   </w:t>
      </w:r>
      <w:r>
        <w:rPr>
          <w:rFonts w:hint="eastAsia" w:ascii="仿宋_GB2312" w:hAnsi="仿宋" w:eastAsia="仿宋_GB2312" w:cs="宋体"/>
          <w:sz w:val="32"/>
          <w:szCs w:val="32"/>
          <w:lang w:bidi="ar"/>
        </w:rPr>
        <w:t>项目共设置</w:t>
      </w:r>
      <w:r>
        <w:rPr>
          <w:rFonts w:ascii="仿宋_GB2312" w:hAnsi="仿宋" w:eastAsia="仿宋_GB2312" w:cs="宋体"/>
          <w:sz w:val="32"/>
          <w:szCs w:val="32"/>
          <w:lang w:bidi="ar"/>
        </w:rPr>
        <w:t>1</w:t>
      </w:r>
      <w:r>
        <w:rPr>
          <w:rFonts w:hint="eastAsia" w:ascii="仿宋_GB2312" w:hAnsi="仿宋" w:eastAsia="仿宋_GB2312" w:cs="宋体"/>
          <w:sz w:val="32"/>
          <w:szCs w:val="32"/>
          <w:lang w:bidi="ar"/>
        </w:rPr>
        <w:t>级指标3个，二级指标</w:t>
      </w:r>
      <w:r>
        <w:rPr>
          <w:rFonts w:hint="eastAsia" w:ascii="仿宋_GB2312" w:hAnsi="仿宋" w:eastAsia="仿宋_GB2312" w:cs="宋体"/>
          <w:sz w:val="32"/>
          <w:szCs w:val="32"/>
          <w:lang w:val="en-US" w:eastAsia="zh-CN" w:bidi="ar"/>
        </w:rPr>
        <w:t>9</w:t>
      </w:r>
      <w:r>
        <w:rPr>
          <w:rFonts w:hint="eastAsia" w:ascii="仿宋_GB2312" w:hAnsi="仿宋" w:eastAsia="仿宋_GB2312" w:cs="宋体"/>
          <w:sz w:val="32"/>
          <w:szCs w:val="32"/>
          <w:lang w:bidi="ar"/>
        </w:rPr>
        <w:t>个，三级指标</w:t>
      </w:r>
      <w:r>
        <w:rPr>
          <w:rFonts w:hint="eastAsia" w:ascii="仿宋_GB2312" w:hAnsi="仿宋" w:eastAsia="仿宋_GB2312" w:cs="宋体"/>
          <w:sz w:val="32"/>
          <w:szCs w:val="32"/>
          <w:lang w:val="en-US" w:eastAsia="zh-CN" w:bidi="ar"/>
        </w:rPr>
        <w:t>18</w:t>
      </w:r>
      <w:r>
        <w:rPr>
          <w:rFonts w:hint="eastAsia" w:ascii="仿宋_GB2312" w:hAnsi="仿宋" w:eastAsia="仿宋_GB2312" w:cs="宋体"/>
          <w:sz w:val="32"/>
          <w:szCs w:val="32"/>
          <w:lang w:bidi="ar"/>
        </w:rPr>
        <w:t>个，绩效目标申报表详见附件1。</w:t>
      </w:r>
    </w:p>
    <w:p>
      <w:pPr>
        <w:pStyle w:val="21"/>
        <w:numPr>
          <w:ilvl w:val="0"/>
          <w:numId w:val="2"/>
        </w:numPr>
        <w:ind w:firstLineChars="0"/>
        <w:rPr>
          <w:lang w:bidi="ar"/>
        </w:rPr>
      </w:pPr>
      <w:bookmarkStart w:id="3" w:name="_Toc26401552"/>
      <w:r>
        <w:rPr>
          <w:rFonts w:hint="eastAsia"/>
          <w:lang w:bidi="ar"/>
        </w:rPr>
        <w:t>评价工作简述</w:t>
      </w:r>
      <w:bookmarkEnd w:id="3"/>
    </w:p>
    <w:p>
      <w:pPr>
        <w:pStyle w:val="23"/>
        <w:numPr>
          <w:ilvl w:val="0"/>
          <w:numId w:val="4"/>
        </w:numPr>
        <w:ind w:left="0" w:firstLine="643" w:firstLineChars="200"/>
        <w:rPr>
          <w:lang w:bidi="ar"/>
        </w:rPr>
      </w:pPr>
      <w:bookmarkStart w:id="4" w:name="_Toc26401553"/>
      <w:r>
        <w:rPr>
          <w:rFonts w:hint="eastAsia"/>
          <w:lang w:bidi="ar"/>
        </w:rPr>
        <w:t>评价目的</w:t>
      </w:r>
      <w:bookmarkEnd w:id="4"/>
    </w:p>
    <w:p>
      <w:pPr>
        <w:pStyle w:val="2"/>
        <w:keepNext/>
        <w:keepLines w:val="0"/>
        <w:pageBreakBefore w:val="0"/>
        <w:widowControl/>
        <w:kinsoku/>
        <w:wordWrap/>
        <w:overflowPunct/>
        <w:topLinePunct w:val="0"/>
        <w:autoSpaceDE/>
        <w:autoSpaceDN/>
        <w:bidi w:val="0"/>
        <w:adjustRightInd/>
        <w:snapToGrid/>
        <w:ind w:firstLine="640" w:firstLineChars="200"/>
        <w:textAlignment w:val="auto"/>
        <w:rPr>
          <w:rFonts w:hint="eastAsia" w:ascii="仿宋_GB2312" w:hAnsi="仿宋" w:eastAsia="仿宋_GB2312" w:cs="宋体"/>
          <w:b w:val="0"/>
          <w:bCs w:val="0"/>
          <w:kern w:val="2"/>
          <w:sz w:val="32"/>
          <w:szCs w:val="32"/>
          <w:lang w:val="en-US" w:eastAsia="zh-CN" w:bidi="ar"/>
        </w:rPr>
      </w:pPr>
      <w:r>
        <w:rPr>
          <w:rFonts w:hint="eastAsia" w:ascii="仿宋_GB2312" w:hAnsi="仿宋" w:eastAsia="仿宋_GB2312" w:cs="宋体"/>
          <w:b w:val="0"/>
          <w:bCs w:val="0"/>
          <w:kern w:val="2"/>
          <w:sz w:val="32"/>
          <w:szCs w:val="32"/>
          <w:lang w:val="en-US" w:eastAsia="zh-CN" w:bidi="ar"/>
        </w:rPr>
        <w:t>本次绩效评价遵循财政部《项目支出绩效评价管理办法》（财预〔2020〕10号）和自治区财政厅《自治区财政支出绩效评价管理暂行办法》（新财预〔2018〕189号）等相关政策文件与规定，旨在评价下达2018年公共卫生服务补助资金项目实施前期、过程及效果，评价财政预算资金使用的效率及效益。可疑患者检查数29968人次以上，登记治疗活动性肺结核患者数4194人次以上，病原学检査阳性肺结核患者的密切接触者检查数8021人次以上，报告患者追踪数3260人次以上，筛查耐药可疑者人数1245人次以上。报告肺结核患者和疑似肺结核患者的总体到位率90%以上，病原学检査阳性肺结核患者的密切接触者筛查率95%以上，肺结核患者病原学阳性率25%以上，耐多药肺结核高危人群耐药筛查率60%以上，肺结核患者成功治疗率85%以上，基层医疗卫生机构肺结核患者规范管理85%以上，所有定点医疗机构具备开展痰涂片、培养、结核病分子生物学诊断的能力90%以上。积极落实各项防治结核病措施，继续开展结核病筛查，做好精准筛查，强化人员培训，提升人员能力，提高肺结核患者管理水平，为规范化肺结核患者服药管理，减少新发肺结核患者带来的其他人群感染。</w:t>
      </w:r>
    </w:p>
    <w:p>
      <w:pPr>
        <w:pStyle w:val="23"/>
        <w:numPr>
          <w:ilvl w:val="0"/>
          <w:numId w:val="4"/>
        </w:numPr>
        <w:ind w:left="0" w:firstLine="643" w:firstLineChars="200"/>
        <w:rPr>
          <w:lang w:bidi="ar"/>
        </w:rPr>
      </w:pPr>
      <w:r>
        <w:rPr>
          <w:rFonts w:hint="eastAsia"/>
          <w:lang w:bidi="ar"/>
        </w:rPr>
        <w:t>本次绩效评价的对象及范围</w:t>
      </w:r>
      <w:bookmarkStart w:id="5" w:name="_Toc26401554"/>
    </w:p>
    <w:p>
      <w:pPr>
        <w:spacing w:before="156" w:beforeLines="50" w:line="60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本次评价对象为</w:t>
      </w:r>
      <w:r>
        <w:rPr>
          <w:rFonts w:hint="eastAsia" w:ascii="仿宋_GB2312" w:hAnsi="仿宋" w:eastAsia="仿宋_GB2312" w:cs="宋体"/>
          <w:sz w:val="32"/>
          <w:szCs w:val="32"/>
          <w:lang w:bidi="ar"/>
        </w:rPr>
        <w:t>下达2018年公共卫生服务补助资金</w:t>
      </w:r>
      <w:r>
        <w:rPr>
          <w:rFonts w:ascii="仿宋_GB2312" w:hAnsi="仿宋" w:eastAsia="仿宋_GB2312" w:cs="宋体"/>
          <w:sz w:val="32"/>
          <w:szCs w:val="32"/>
          <w:lang w:bidi="ar"/>
        </w:rPr>
        <w:t>项目资金，评价范围包括专项资</w:t>
      </w:r>
      <w:r>
        <w:rPr>
          <w:rFonts w:hint="eastAsia" w:ascii="仿宋_GB2312" w:hAnsi="仿宋" w:eastAsia="仿宋_GB2312" w:cs="宋体"/>
          <w:sz w:val="32"/>
          <w:szCs w:val="32"/>
          <w:lang w:bidi="ar"/>
        </w:rPr>
        <w:t>金的安排、组织及使用效益。</w:t>
      </w:r>
    </w:p>
    <w:p>
      <w:pPr>
        <w:pStyle w:val="23"/>
        <w:numPr>
          <w:ilvl w:val="0"/>
          <w:numId w:val="4"/>
        </w:numPr>
        <w:ind w:left="0" w:firstLine="643" w:firstLineChars="200"/>
        <w:rPr>
          <w:lang w:bidi="ar"/>
        </w:rPr>
      </w:pPr>
      <w:r>
        <w:rPr>
          <w:rFonts w:hint="eastAsia"/>
          <w:lang w:bidi="ar"/>
        </w:rPr>
        <w:t>绩效评价原则</w:t>
      </w:r>
      <w:bookmarkEnd w:id="5"/>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23"/>
        <w:keepNext w:val="0"/>
        <w:keepLines w:val="0"/>
        <w:numPr>
          <w:ilvl w:val="1"/>
          <w:numId w:val="5"/>
        </w:numPr>
        <w:ind w:left="0" w:firstLine="640" w:firstLineChars="200"/>
        <w:rPr>
          <w:rFonts w:hAnsi="仿宋" w:cs="宋体"/>
          <w:b w:val="0"/>
          <w:lang w:bidi="ar"/>
        </w:rPr>
      </w:pPr>
      <w:r>
        <w:rPr>
          <w:rFonts w:hint="eastAsia" w:hAnsi="仿宋" w:cs="宋体"/>
          <w:b w:val="0"/>
          <w:lang w:bidi="ar"/>
        </w:rPr>
        <w:t>科学公正。绩效评价应当运用科学合理的方法，按照规范的程序，对项目绩效进行客观、公正的反映。</w:t>
      </w:r>
    </w:p>
    <w:p>
      <w:pPr>
        <w:pStyle w:val="23"/>
        <w:keepNext w:val="0"/>
        <w:keepLines w:val="0"/>
        <w:numPr>
          <w:ilvl w:val="1"/>
          <w:numId w:val="5"/>
        </w:numPr>
        <w:ind w:left="0" w:firstLine="640" w:firstLineChars="200"/>
        <w:rPr>
          <w:rFonts w:hAnsi="仿宋" w:cs="宋体"/>
          <w:b w:val="0"/>
          <w:lang w:bidi="ar"/>
        </w:rPr>
      </w:pPr>
      <w:r>
        <w:rPr>
          <w:rFonts w:hint="eastAsia" w:hAnsi="仿宋" w:cs="宋体"/>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3"/>
        <w:keepNext w:val="0"/>
        <w:keepLines w:val="0"/>
        <w:numPr>
          <w:ilvl w:val="1"/>
          <w:numId w:val="5"/>
        </w:numPr>
        <w:ind w:left="0" w:firstLine="640" w:firstLineChars="200"/>
        <w:rPr>
          <w:rFonts w:hAnsi="仿宋" w:cs="宋体"/>
          <w:b w:val="0"/>
          <w:lang w:bidi="ar"/>
        </w:rPr>
      </w:pPr>
      <w:r>
        <w:rPr>
          <w:rFonts w:hint="eastAsia" w:hAnsi="仿宋" w:cs="宋体"/>
          <w:b w:val="0"/>
          <w:lang w:bidi="ar"/>
        </w:rPr>
        <w:t>激励约束。绩效评价结果应与预算安排、政策调整、改进管理实质性挂钩，体现奖优罚劣和激励相容导向，有效要安排、低效要压减、无效要问责。</w:t>
      </w:r>
    </w:p>
    <w:p>
      <w:pPr>
        <w:pStyle w:val="23"/>
        <w:keepNext w:val="0"/>
        <w:keepLines w:val="0"/>
        <w:numPr>
          <w:ilvl w:val="1"/>
          <w:numId w:val="5"/>
        </w:numPr>
        <w:ind w:left="0" w:firstLine="640" w:firstLineChars="200"/>
        <w:rPr>
          <w:b w:val="0"/>
          <w:lang w:bidi="ar"/>
        </w:rPr>
      </w:pPr>
      <w:r>
        <w:rPr>
          <w:rFonts w:hint="eastAsia" w:hAnsi="仿宋" w:cs="宋体"/>
          <w:b w:val="0"/>
          <w:lang w:bidi="ar"/>
        </w:rPr>
        <w:t>公开透明。绩效评价结果应依法依规公开，并自觉接受社会监督。</w:t>
      </w:r>
      <w:r>
        <w:rPr>
          <w:rFonts w:hint="eastAsia"/>
          <w:b w:val="0"/>
          <w:lang w:bidi="ar"/>
        </w:rPr>
        <w:t>绩效评价体系</w:t>
      </w:r>
    </w:p>
    <w:p>
      <w:pPr>
        <w:pStyle w:val="23"/>
        <w:numPr>
          <w:ilvl w:val="0"/>
          <w:numId w:val="4"/>
        </w:numPr>
        <w:ind w:left="0" w:firstLine="643" w:firstLineChars="200"/>
        <w:rPr>
          <w:lang w:bidi="ar"/>
        </w:rPr>
      </w:pPr>
      <w:r>
        <w:rPr>
          <w:rFonts w:hint="eastAsia"/>
          <w:lang w:bidi="ar"/>
        </w:rPr>
        <w:t>本项目绩效评价体系</w:t>
      </w:r>
    </w:p>
    <w:p>
      <w:pPr>
        <w:pStyle w:val="23"/>
        <w:numPr>
          <w:ilvl w:val="0"/>
          <w:numId w:val="0"/>
        </w:numPr>
        <w:ind w:firstLine="640" w:firstLineChars="200"/>
        <w:rPr>
          <w:b w:val="0"/>
          <w:bCs/>
          <w:color w:val="auto"/>
          <w:lang w:bidi="ar"/>
        </w:rPr>
      </w:pPr>
      <w:r>
        <w:rPr>
          <w:rFonts w:hint="eastAsia"/>
          <w:b w:val="0"/>
          <w:lang w:bidi="ar"/>
        </w:rPr>
        <w:t>本项目绩效评价体系为根据财预</w:t>
      </w:r>
      <w:r>
        <w:rPr>
          <w:rFonts w:hint="eastAsia" w:ascii="仿宋" w:hAnsi="仿宋" w:eastAsia="仿宋"/>
          <w:b w:val="0"/>
          <w:lang w:bidi="ar"/>
        </w:rPr>
        <w:t>﹝</w:t>
      </w:r>
      <w:r>
        <w:rPr>
          <w:rFonts w:hint="eastAsia"/>
          <w:b w:val="0"/>
          <w:lang w:bidi="ar"/>
        </w:rPr>
        <w:t>2</w:t>
      </w:r>
      <w:r>
        <w:rPr>
          <w:b w:val="0"/>
          <w:lang w:bidi="ar"/>
        </w:rPr>
        <w:t>020</w:t>
      </w:r>
      <w:r>
        <w:rPr>
          <w:rFonts w:hint="eastAsia" w:ascii="仿宋" w:hAnsi="仿宋" w:eastAsia="仿宋"/>
          <w:b w:val="0"/>
          <w:lang w:bidi="ar"/>
        </w:rPr>
        <w:t>﹞</w:t>
      </w:r>
      <w:r>
        <w:rPr>
          <w:rFonts w:hint="eastAsia"/>
          <w:b w:val="0"/>
          <w:lang w:bidi="ar"/>
        </w:rPr>
        <w:t>1</w:t>
      </w:r>
      <w:r>
        <w:rPr>
          <w:b w:val="0"/>
          <w:lang w:bidi="ar"/>
        </w:rPr>
        <w:t>0</w:t>
      </w:r>
      <w:r>
        <w:rPr>
          <w:rFonts w:hint="eastAsia"/>
          <w:b w:val="0"/>
          <w:lang w:bidi="ar"/>
        </w:rPr>
        <w:t>号共性指标及个性化指标设置，</w:t>
      </w:r>
      <w:r>
        <w:rPr>
          <w:rFonts w:hint="eastAsia"/>
          <w:b w:val="0"/>
          <w:bCs/>
          <w:color w:val="auto"/>
          <w:lang w:bidi="ar"/>
        </w:rPr>
        <w:t>详见附件</w:t>
      </w:r>
      <w:r>
        <w:rPr>
          <w:rFonts w:hint="eastAsia"/>
          <w:b w:val="0"/>
          <w:bCs/>
          <w:color w:val="auto"/>
          <w:lang w:val="en-US" w:eastAsia="zh-CN" w:bidi="ar"/>
        </w:rPr>
        <w:t>4</w:t>
      </w:r>
      <w:r>
        <w:rPr>
          <w:rFonts w:hint="eastAsia"/>
          <w:b w:val="0"/>
          <w:bCs/>
          <w:color w:val="auto"/>
          <w:lang w:bidi="ar"/>
        </w:rPr>
        <w:t>。</w:t>
      </w:r>
    </w:p>
    <w:p>
      <w:pPr>
        <w:pStyle w:val="23"/>
        <w:keepNext w:val="0"/>
        <w:keepLines w:val="0"/>
        <w:numPr>
          <w:ilvl w:val="0"/>
          <w:numId w:val="4"/>
        </w:numPr>
        <w:ind w:left="0" w:firstLine="643" w:firstLineChars="200"/>
        <w:rPr>
          <w:lang w:bidi="ar"/>
        </w:rPr>
      </w:pPr>
      <w:bookmarkStart w:id="6" w:name="_Toc26401555"/>
      <w:r>
        <w:rPr>
          <w:rFonts w:hint="eastAsia"/>
          <w:lang w:bidi="ar"/>
        </w:rPr>
        <w:t>绩效评价方法</w:t>
      </w:r>
      <w:bookmarkEnd w:id="6"/>
    </w:p>
    <w:p>
      <w:pPr>
        <w:spacing w:before="156"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本次绩效评价方法的选用坚持简便有效的原则采用因素分析法、综合指数评价法</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bidi="ar"/>
        </w:rPr>
        <w:t>问卷调查法、综合分析法。</w:t>
      </w:r>
    </w:p>
    <w:p>
      <w:pPr>
        <w:pStyle w:val="23"/>
        <w:keepNext w:val="0"/>
        <w:keepLines w:val="0"/>
        <w:numPr>
          <w:ilvl w:val="0"/>
          <w:numId w:val="4"/>
        </w:numPr>
        <w:ind w:left="0" w:firstLine="643" w:firstLineChars="200"/>
        <w:rPr>
          <w:lang w:bidi="ar"/>
        </w:rPr>
      </w:pPr>
      <w:r>
        <w:rPr>
          <w:rFonts w:hint="eastAsia"/>
          <w:lang w:bidi="ar"/>
        </w:rPr>
        <w:t>评价标准</w:t>
      </w:r>
    </w:p>
    <w:p>
      <w:pPr>
        <w:pStyle w:val="23"/>
        <w:keepNext w:val="0"/>
        <w:keepLines w:val="0"/>
        <w:numPr>
          <w:ilvl w:val="0"/>
          <w:numId w:val="0"/>
        </w:numPr>
        <w:rPr>
          <w:rFonts w:hint="eastAsia" w:eastAsia="仿宋_GB2312"/>
          <w:lang w:eastAsia="zh-CN" w:bidi="ar"/>
        </w:rPr>
      </w:pPr>
      <w:r>
        <w:rPr>
          <w:rFonts w:hint="eastAsia"/>
          <w:lang w:bidi="ar"/>
        </w:rPr>
        <w:t xml:space="preserve"> </w:t>
      </w:r>
      <w:r>
        <w:rPr>
          <w:lang w:bidi="ar"/>
        </w:rPr>
        <w:t xml:space="preserve">   </w:t>
      </w:r>
      <w:r>
        <w:rPr>
          <w:rFonts w:hint="eastAsia"/>
          <w:lang w:bidi="ar"/>
        </w:rPr>
        <w:t>项目评价标准采用</w:t>
      </w:r>
      <w:r>
        <w:rPr>
          <w:rFonts w:hint="eastAsia"/>
          <w:bCs w:val="0"/>
        </w:rPr>
        <w:t>行业标准</w:t>
      </w:r>
      <w:r>
        <w:rPr>
          <w:rFonts w:hint="eastAsia"/>
          <w:bCs w:val="0"/>
          <w:lang w:eastAsia="zh-CN"/>
        </w:rPr>
        <w:t>。</w:t>
      </w:r>
    </w:p>
    <w:p>
      <w:pPr>
        <w:pStyle w:val="23"/>
        <w:keepNext w:val="0"/>
        <w:keepLines w:val="0"/>
        <w:numPr>
          <w:ilvl w:val="0"/>
          <w:numId w:val="4"/>
        </w:numPr>
        <w:ind w:left="0" w:firstLine="643" w:firstLineChars="200"/>
        <w:rPr>
          <w:lang w:bidi="ar"/>
        </w:rPr>
      </w:pPr>
      <w:r>
        <w:rPr>
          <w:rFonts w:hint="eastAsia"/>
          <w:lang w:bidi="ar"/>
        </w:rPr>
        <w:t>绩效评价工作过程</w:t>
      </w:r>
    </w:p>
    <w:p>
      <w:pPr>
        <w:pStyle w:val="23"/>
        <w:keepNext w:val="0"/>
        <w:keepLines w:val="0"/>
        <w:numPr>
          <w:ilvl w:val="0"/>
          <w:numId w:val="0"/>
        </w:numPr>
        <w:ind w:firstLine="640" w:firstLineChars="200"/>
        <w:outlineLvl w:val="9"/>
        <w:rPr>
          <w:b w:val="0"/>
          <w:bCs w:val="0"/>
          <w:lang w:bidi="ar"/>
        </w:rPr>
      </w:pPr>
      <w:r>
        <w:rPr>
          <w:rFonts w:hint="eastAsia"/>
          <w:b w:val="0"/>
          <w:bCs w:val="0"/>
          <w:lang w:bidi="ar"/>
        </w:rPr>
        <w:t>本次评价成立了评价，成员如下：</w:t>
      </w:r>
    </w:p>
    <w:tbl>
      <w:tblPr>
        <w:tblStyle w:val="13"/>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highlight w:val="none"/>
                <w:lang w:bidi="ar"/>
              </w:rPr>
            </w:pPr>
            <w:r>
              <w:rPr>
                <w:rFonts w:hint="eastAsia"/>
                <w:b w:val="0"/>
                <w:bCs w:val="0"/>
                <w:highlight w:val="none"/>
                <w:lang w:bidi="ar"/>
              </w:rPr>
              <w:t>评价人</w:t>
            </w:r>
          </w:p>
        </w:tc>
        <w:tc>
          <w:tcPr>
            <w:tcW w:w="2765" w:type="dxa"/>
            <w:vAlign w:val="center"/>
          </w:tcPr>
          <w:p>
            <w:pPr>
              <w:pStyle w:val="23"/>
              <w:keepNext w:val="0"/>
              <w:keepLines w:val="0"/>
              <w:numPr>
                <w:ilvl w:val="0"/>
                <w:numId w:val="0"/>
              </w:numPr>
              <w:spacing w:line="240" w:lineRule="atLeast"/>
              <w:jc w:val="center"/>
              <w:rPr>
                <w:b w:val="0"/>
                <w:bCs w:val="0"/>
                <w:highlight w:val="none"/>
                <w:lang w:bidi="ar"/>
              </w:rPr>
            </w:pPr>
            <w:r>
              <w:rPr>
                <w:rFonts w:hint="eastAsia"/>
                <w:b w:val="0"/>
                <w:bCs w:val="0"/>
                <w:highlight w:val="none"/>
                <w:lang w:bidi="ar"/>
              </w:rPr>
              <w:t>职责</w:t>
            </w:r>
          </w:p>
        </w:tc>
        <w:tc>
          <w:tcPr>
            <w:tcW w:w="2766" w:type="dxa"/>
            <w:vAlign w:val="center"/>
          </w:tcPr>
          <w:p>
            <w:pPr>
              <w:pStyle w:val="23"/>
              <w:keepNext w:val="0"/>
              <w:keepLines w:val="0"/>
              <w:numPr>
                <w:ilvl w:val="0"/>
                <w:numId w:val="0"/>
              </w:numPr>
              <w:spacing w:line="240" w:lineRule="atLeast"/>
              <w:jc w:val="center"/>
              <w:rPr>
                <w:b w:val="0"/>
                <w:bCs w:val="0"/>
                <w:highlight w:val="none"/>
                <w:lang w:bidi="ar"/>
              </w:rPr>
            </w:pPr>
            <w:r>
              <w:rPr>
                <w:rFonts w:hint="eastAsia"/>
                <w:b w:val="0"/>
                <w:bCs w:val="0"/>
                <w:highlight w:val="none"/>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rFonts w:hint="eastAsia" w:eastAsia="仿宋_GB2312"/>
                <w:b w:val="0"/>
                <w:bCs w:val="0"/>
                <w:highlight w:val="none"/>
                <w:lang w:eastAsia="zh-CN" w:bidi="ar"/>
              </w:rPr>
            </w:pPr>
            <w:r>
              <w:rPr>
                <w:rFonts w:hint="eastAsia"/>
                <w:b w:val="0"/>
                <w:bCs w:val="0"/>
                <w:highlight w:val="none"/>
                <w:lang w:eastAsia="zh-CN" w:bidi="ar"/>
              </w:rPr>
              <w:t>刘振江</w:t>
            </w:r>
          </w:p>
        </w:tc>
        <w:tc>
          <w:tcPr>
            <w:tcW w:w="2765" w:type="dxa"/>
            <w:vAlign w:val="center"/>
          </w:tcPr>
          <w:p>
            <w:pPr>
              <w:pStyle w:val="23"/>
              <w:keepNext w:val="0"/>
              <w:keepLines w:val="0"/>
              <w:numPr>
                <w:ilvl w:val="0"/>
                <w:numId w:val="0"/>
              </w:numPr>
              <w:spacing w:line="240" w:lineRule="atLeast"/>
              <w:jc w:val="center"/>
              <w:rPr>
                <w:b w:val="0"/>
                <w:bCs w:val="0"/>
                <w:highlight w:val="none"/>
                <w:lang w:bidi="ar"/>
              </w:rPr>
            </w:pPr>
            <w:r>
              <w:rPr>
                <w:rFonts w:hint="eastAsia"/>
                <w:b w:val="0"/>
                <w:bCs w:val="0"/>
                <w:highlight w:val="none"/>
                <w:lang w:bidi="ar"/>
              </w:rPr>
              <w:t>评价组组长</w:t>
            </w:r>
          </w:p>
        </w:tc>
        <w:tc>
          <w:tcPr>
            <w:tcW w:w="2766" w:type="dxa"/>
            <w:vAlign w:val="center"/>
          </w:tcPr>
          <w:p>
            <w:pPr>
              <w:pStyle w:val="23"/>
              <w:keepNext w:val="0"/>
              <w:keepLines w:val="0"/>
              <w:numPr>
                <w:ilvl w:val="0"/>
                <w:numId w:val="0"/>
              </w:numPr>
              <w:spacing w:line="240" w:lineRule="atLeast"/>
              <w:jc w:val="center"/>
              <w:rPr>
                <w:rFonts w:hint="eastAsia" w:eastAsia="仿宋_GB2312"/>
                <w:b w:val="0"/>
                <w:bCs w:val="0"/>
                <w:highlight w:val="none"/>
                <w:lang w:eastAsia="zh-CN" w:bidi="ar"/>
              </w:rPr>
            </w:pPr>
            <w:r>
              <w:rPr>
                <w:rFonts w:hint="eastAsia"/>
                <w:b w:val="0"/>
                <w:bCs w:val="0"/>
                <w:highlight w:val="none"/>
                <w:lang w:eastAsia="zh-CN" w:bidi="ar"/>
              </w:rPr>
              <w:t>医院书记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rFonts w:hint="eastAsia" w:eastAsia="仿宋_GB2312"/>
                <w:b w:val="0"/>
                <w:bCs w:val="0"/>
                <w:highlight w:val="none"/>
                <w:lang w:eastAsia="zh-CN" w:bidi="ar"/>
              </w:rPr>
            </w:pPr>
            <w:r>
              <w:rPr>
                <w:rFonts w:hint="eastAsia"/>
                <w:b w:val="0"/>
                <w:bCs w:val="0"/>
                <w:highlight w:val="none"/>
                <w:lang w:eastAsia="zh-CN" w:bidi="ar"/>
              </w:rPr>
              <w:t>许达</w:t>
            </w:r>
          </w:p>
        </w:tc>
        <w:tc>
          <w:tcPr>
            <w:tcW w:w="2765" w:type="dxa"/>
            <w:vAlign w:val="center"/>
          </w:tcPr>
          <w:p>
            <w:pPr>
              <w:pStyle w:val="23"/>
              <w:keepNext w:val="0"/>
              <w:keepLines w:val="0"/>
              <w:numPr>
                <w:ilvl w:val="0"/>
                <w:numId w:val="0"/>
              </w:numPr>
              <w:spacing w:line="240" w:lineRule="atLeast"/>
              <w:jc w:val="center"/>
              <w:rPr>
                <w:b w:val="0"/>
                <w:bCs w:val="0"/>
                <w:highlight w:val="none"/>
                <w:lang w:bidi="ar"/>
              </w:rPr>
            </w:pPr>
            <w:r>
              <w:rPr>
                <w:rFonts w:hint="eastAsia"/>
                <w:b w:val="0"/>
                <w:bCs w:val="0"/>
                <w:highlight w:val="none"/>
                <w:lang w:bidi="ar"/>
              </w:rPr>
              <w:t>评价组成员</w:t>
            </w:r>
          </w:p>
        </w:tc>
        <w:tc>
          <w:tcPr>
            <w:tcW w:w="2766" w:type="dxa"/>
            <w:vAlign w:val="center"/>
          </w:tcPr>
          <w:p>
            <w:pPr>
              <w:pStyle w:val="23"/>
              <w:keepNext w:val="0"/>
              <w:keepLines w:val="0"/>
              <w:numPr>
                <w:ilvl w:val="0"/>
                <w:numId w:val="0"/>
              </w:numPr>
              <w:spacing w:line="240" w:lineRule="atLeast"/>
              <w:jc w:val="center"/>
              <w:rPr>
                <w:rFonts w:hint="eastAsia" w:eastAsia="仿宋_GB2312"/>
                <w:b w:val="0"/>
                <w:bCs w:val="0"/>
                <w:highlight w:val="none"/>
                <w:lang w:eastAsia="zh-CN" w:bidi="ar"/>
              </w:rPr>
            </w:pPr>
            <w:r>
              <w:rPr>
                <w:rFonts w:hint="eastAsia"/>
                <w:b w:val="0"/>
                <w:bCs w:val="0"/>
                <w:highlight w:val="none"/>
                <w:lang w:eastAsia="zh-CN" w:bidi="ar"/>
              </w:rPr>
              <w:t>副院长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rFonts w:hint="eastAsia" w:eastAsia="仿宋_GB2312"/>
                <w:b w:val="0"/>
                <w:bCs w:val="0"/>
                <w:highlight w:val="none"/>
                <w:lang w:eastAsia="zh-CN" w:bidi="ar"/>
              </w:rPr>
            </w:pPr>
            <w:r>
              <w:rPr>
                <w:rFonts w:hint="eastAsia"/>
                <w:b w:val="0"/>
                <w:bCs w:val="0"/>
                <w:highlight w:val="none"/>
                <w:lang w:eastAsia="zh-CN" w:bidi="ar"/>
              </w:rPr>
              <w:t>图尔洪江</w:t>
            </w:r>
          </w:p>
        </w:tc>
        <w:tc>
          <w:tcPr>
            <w:tcW w:w="2765" w:type="dxa"/>
            <w:vAlign w:val="center"/>
          </w:tcPr>
          <w:p>
            <w:pPr>
              <w:pStyle w:val="23"/>
              <w:keepNext w:val="0"/>
              <w:keepLines w:val="0"/>
              <w:numPr>
                <w:ilvl w:val="0"/>
                <w:numId w:val="0"/>
              </w:numPr>
              <w:spacing w:line="240" w:lineRule="atLeast"/>
              <w:jc w:val="center"/>
              <w:rPr>
                <w:b w:val="0"/>
                <w:bCs w:val="0"/>
                <w:highlight w:val="none"/>
                <w:lang w:bidi="ar"/>
              </w:rPr>
            </w:pPr>
            <w:r>
              <w:rPr>
                <w:rFonts w:hint="eastAsia"/>
                <w:b w:val="0"/>
                <w:bCs w:val="0"/>
                <w:highlight w:val="none"/>
                <w:lang w:bidi="ar"/>
              </w:rPr>
              <w:t>评价组成员</w:t>
            </w:r>
          </w:p>
        </w:tc>
        <w:tc>
          <w:tcPr>
            <w:tcW w:w="2766" w:type="dxa"/>
            <w:vAlign w:val="center"/>
          </w:tcPr>
          <w:p>
            <w:pPr>
              <w:pStyle w:val="23"/>
              <w:keepNext w:val="0"/>
              <w:keepLines w:val="0"/>
              <w:numPr>
                <w:ilvl w:val="0"/>
                <w:numId w:val="0"/>
              </w:numPr>
              <w:spacing w:line="240" w:lineRule="atLeast"/>
              <w:jc w:val="center"/>
              <w:rPr>
                <w:rFonts w:hint="eastAsia" w:eastAsia="仿宋_GB2312"/>
                <w:b w:val="0"/>
                <w:bCs w:val="0"/>
                <w:highlight w:val="none"/>
                <w:lang w:eastAsia="zh-CN" w:bidi="ar"/>
              </w:rPr>
            </w:pPr>
            <w:r>
              <w:rPr>
                <w:rFonts w:hint="eastAsia"/>
                <w:b w:val="0"/>
                <w:bCs w:val="0"/>
                <w:highlight w:val="none"/>
                <w:lang w:eastAsia="zh-CN" w:bidi="ar"/>
              </w:rPr>
              <w:t>防痨科主任</w:t>
            </w:r>
          </w:p>
        </w:tc>
      </w:tr>
    </w:tbl>
    <w:p>
      <w:pPr>
        <w:pStyle w:val="23"/>
        <w:keepNext w:val="0"/>
        <w:keepLines w:val="0"/>
        <w:numPr>
          <w:ilvl w:val="0"/>
          <w:numId w:val="0"/>
        </w:numPr>
        <w:ind w:firstLine="640" w:firstLineChars="200"/>
        <w:outlineLvl w:val="9"/>
        <w:rPr>
          <w:b w:val="0"/>
          <w:bCs w:val="0"/>
          <w:lang w:bidi="ar"/>
        </w:rPr>
      </w:pPr>
      <w:r>
        <w:rPr>
          <w:rFonts w:hint="eastAsia"/>
          <w:b w:val="0"/>
          <w:bCs w:val="0"/>
          <w:highlight w:val="none"/>
          <w:lang w:bidi="ar"/>
        </w:rPr>
        <w:t>本次评价设计了评价方案、评价指标体系，通过资料分析、调研、访谈满意度调查等方式形成评价结论，在与项目</w:t>
      </w:r>
      <w:r>
        <w:rPr>
          <w:rFonts w:hint="eastAsia"/>
          <w:b w:val="0"/>
          <w:bCs w:val="0"/>
          <w:lang w:bidi="ar"/>
        </w:rPr>
        <w:t>单位沟通后确定评价意见，并出具评价报告。　</w:t>
      </w:r>
    </w:p>
    <w:p>
      <w:pPr>
        <w:pStyle w:val="21"/>
        <w:numPr>
          <w:ilvl w:val="0"/>
          <w:numId w:val="2"/>
        </w:numPr>
        <w:ind w:firstLineChars="0"/>
        <w:rPr>
          <w:color w:val="auto"/>
          <w:highlight w:val="none"/>
          <w:lang w:bidi="ar"/>
        </w:rPr>
      </w:pPr>
      <w:bookmarkStart w:id="7" w:name="_Toc26401558"/>
      <w:r>
        <w:rPr>
          <w:rFonts w:hint="eastAsia" w:ascii="黑体" w:hAnsi="黑体"/>
          <w:color w:val="auto"/>
          <w:highlight w:val="none"/>
        </w:rPr>
        <w:t>综合评价情况及评价结论</w:t>
      </w:r>
    </w:p>
    <w:p>
      <w:pPr>
        <w:pStyle w:val="21"/>
        <w:ind w:firstLine="640"/>
        <w:rPr>
          <w:rFonts w:ascii="仿宋_GB2312" w:eastAsia="仿宋_GB2312" w:hAnsiTheme="majorHAnsi"/>
          <w:b w:val="0"/>
          <w:bCs w:val="0"/>
          <w:kern w:val="2"/>
          <w:highlight w:val="none"/>
          <w:lang w:bidi="ar"/>
        </w:rPr>
      </w:pPr>
      <w:r>
        <w:rPr>
          <w:rFonts w:hint="eastAsia" w:ascii="仿宋_GB2312" w:eastAsia="仿宋_GB2312" w:hAnsiTheme="majorHAnsi"/>
          <w:b w:val="0"/>
          <w:bCs w:val="0"/>
          <w:color w:val="auto"/>
          <w:kern w:val="2"/>
          <w:highlight w:val="none"/>
          <w:lang w:bidi="ar"/>
        </w:rPr>
        <w:t>经评价组通过实地调研、资料分析等方式，采用综合分析法、成本效益分析法、最低成本法、标杆管理法（根据实际情况去留）等对项目的决策、管理、绩效进行的综合评价</w:t>
      </w:r>
      <w:r>
        <w:rPr>
          <w:rFonts w:hint="eastAsia" w:ascii="仿宋_GB2312" w:eastAsia="仿宋_GB2312" w:hAnsiTheme="majorHAnsi"/>
          <w:b w:val="0"/>
          <w:bCs w:val="0"/>
          <w:kern w:val="2"/>
          <w:highlight w:val="none"/>
          <w:lang w:bidi="ar"/>
        </w:rPr>
        <w:t>分析，项目得分为</w:t>
      </w:r>
      <w:r>
        <w:rPr>
          <w:rFonts w:hint="eastAsia" w:ascii="仿宋_GB2312" w:eastAsia="仿宋_GB2312" w:hAnsiTheme="majorHAnsi"/>
          <w:b w:val="0"/>
          <w:bCs w:val="0"/>
          <w:kern w:val="2"/>
          <w:highlight w:val="none"/>
          <w:lang w:val="en-US" w:eastAsia="zh-CN" w:bidi="ar"/>
        </w:rPr>
        <w:t>100</w:t>
      </w:r>
      <w:r>
        <w:rPr>
          <w:rFonts w:hint="eastAsia" w:ascii="仿宋_GB2312" w:eastAsia="仿宋_GB2312" w:hAnsiTheme="majorHAnsi"/>
          <w:b w:val="0"/>
          <w:bCs w:val="0"/>
          <w:kern w:val="2"/>
          <w:highlight w:val="none"/>
          <w:lang w:bidi="ar"/>
        </w:rPr>
        <w:t>分，评价结果为优，详见附件</w:t>
      </w:r>
      <w:r>
        <w:rPr>
          <w:rFonts w:hint="eastAsia" w:ascii="仿宋_GB2312" w:eastAsia="仿宋_GB2312" w:hAnsiTheme="majorHAnsi"/>
          <w:b w:val="0"/>
          <w:bCs w:val="0"/>
          <w:kern w:val="2"/>
          <w:highlight w:val="none"/>
          <w:lang w:val="en-US" w:eastAsia="zh-CN" w:bidi="ar"/>
        </w:rPr>
        <w:t>6</w:t>
      </w:r>
      <w:r>
        <w:rPr>
          <w:rFonts w:hint="eastAsia" w:ascii="仿宋_GB2312" w:eastAsia="仿宋_GB2312" w:hAnsiTheme="majorHAnsi"/>
          <w:b w:val="0"/>
          <w:bCs w:val="0"/>
          <w:kern w:val="2"/>
          <w:highlight w:val="none"/>
          <w:lang w:bidi="ar"/>
        </w:rPr>
        <w:t>。</w:t>
      </w:r>
    </w:p>
    <w:p>
      <w:pPr>
        <w:pStyle w:val="21"/>
        <w:numPr>
          <w:ilvl w:val="0"/>
          <w:numId w:val="2"/>
        </w:numPr>
        <w:ind w:firstLineChars="0"/>
        <w:rPr>
          <w:highlight w:val="none"/>
          <w:lang w:bidi="ar"/>
        </w:rPr>
      </w:pPr>
      <w:r>
        <w:rPr>
          <w:rFonts w:hint="eastAsia"/>
          <w:highlight w:val="none"/>
          <w:lang w:bidi="ar"/>
        </w:rPr>
        <w:t>绩效评价指标分析</w:t>
      </w:r>
      <w:bookmarkEnd w:id="7"/>
    </w:p>
    <w:p>
      <w:pPr>
        <w:pStyle w:val="17"/>
        <w:numPr>
          <w:ilvl w:val="0"/>
          <w:numId w:val="6"/>
        </w:numPr>
        <w:spacing w:before="156"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26"/>
        <w:ind w:firstLine="640"/>
        <w:rPr>
          <w:rFonts w:ascii="仿宋_GB2312" w:hAnsi="仿宋" w:cs="宋体"/>
          <w:sz w:val="32"/>
          <w:szCs w:val="32"/>
          <w:lang w:bidi="ar"/>
        </w:rPr>
      </w:pPr>
      <w:r>
        <w:rPr>
          <w:rFonts w:hint="eastAsia" w:ascii="仿宋_GB2312" w:hAnsi="仿宋" w:cs="宋体"/>
          <w:sz w:val="32"/>
          <w:szCs w:val="32"/>
          <w:lang w:bidi="ar"/>
        </w:rPr>
        <w:t>本项目的立项符合相关法规政策及部门职责，依据是充分；项目是按照规定的程序申请设立；审批文件、材料是符合相关要求；项目前期是已经过必要的可行性研究、绩效评估、集体决策。</w:t>
      </w:r>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是与项目目标任务数或计划数相对应。</w:t>
      </w:r>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在资金投入方面，预算编制是经过科学论证、有明确标准，资金额度与年度目标是相适应，用以反映和考核项目预算编制的科学性、合理性情况。项目预算资金分配是有测算依据，与补助单位或地方实际是相适应。</w:t>
      </w:r>
    </w:p>
    <w:p>
      <w:pPr>
        <w:pStyle w:val="17"/>
        <w:numPr>
          <w:ilvl w:val="0"/>
          <w:numId w:val="6"/>
        </w:numPr>
        <w:spacing w:before="156"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在资金管理方面，项目资金到位是足额及时，及时支付，资金使用是符合国家法规和财务管理制度；资金拨付有完整的审批程序和手续，符合项目预算批复或合同规定的用途；</w:t>
      </w:r>
      <w:r>
        <w:rPr>
          <w:rFonts w:hint="eastAsia" w:ascii="仿宋_GB2312" w:eastAsia="仿宋_GB2312"/>
          <w:sz w:val="32"/>
          <w:szCs w:val="32"/>
          <w:lang w:eastAsia="zh-CN"/>
        </w:rPr>
        <w:t>不</w:t>
      </w:r>
      <w:r>
        <w:rPr>
          <w:rFonts w:hint="eastAsia" w:ascii="仿宋_GB2312" w:eastAsia="仿宋_GB2312"/>
          <w:sz w:val="32"/>
          <w:szCs w:val="32"/>
        </w:rPr>
        <w:t>存在截留、挤占、挪用、虚列支出等情况。</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在项目组织实施方面，项目单位已制定或具有相应的财务和业务管理制度，财务和业务管理制度合法、合规、完整。项目实施遵守相关法律法规和相关管理规定。</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项目调整及支出调整手续完备，验收报告等资料是否齐全并及时归档，项目实施的人员条件、场地设备、信息支撑等落实到位。</w:t>
      </w:r>
    </w:p>
    <w:p>
      <w:pPr>
        <w:pStyle w:val="17"/>
        <w:numPr>
          <w:ilvl w:val="0"/>
          <w:numId w:val="6"/>
        </w:numPr>
        <w:spacing w:before="156" w:beforeLines="50" w:line="600" w:lineRule="exact"/>
        <w:ind w:left="0" w:firstLine="643"/>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项目产出情况</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项目产出</w:t>
      </w:r>
      <w:r>
        <w:rPr>
          <w:rFonts w:hint="eastAsia" w:ascii="仿宋_GB2312" w:eastAsia="仿宋_GB2312"/>
          <w:sz w:val="32"/>
          <w:szCs w:val="32"/>
          <w:lang w:eastAsia="zh-CN"/>
        </w:rPr>
        <w:t>数量</w:t>
      </w:r>
      <w:r>
        <w:rPr>
          <w:rFonts w:hint="eastAsia" w:ascii="仿宋_GB2312" w:eastAsia="仿宋_GB2312"/>
          <w:sz w:val="32"/>
          <w:szCs w:val="32"/>
        </w:rPr>
        <w:t>指标</w:t>
      </w:r>
      <w:r>
        <w:rPr>
          <w:rFonts w:hint="eastAsia" w:ascii="仿宋_GB2312" w:eastAsia="仿宋_GB2312"/>
          <w:sz w:val="32"/>
          <w:szCs w:val="32"/>
          <w:lang w:eastAsia="zh-CN"/>
        </w:rPr>
        <w:t>为</w:t>
      </w:r>
      <w:r>
        <w:rPr>
          <w:rFonts w:hint="eastAsia" w:ascii="仿宋_GB2312" w:eastAsia="仿宋_GB2312"/>
          <w:sz w:val="32"/>
          <w:szCs w:val="32"/>
        </w:rPr>
        <w:t>购置肺结核患者管理信息系统建设设备，预期指标是</w:t>
      </w:r>
      <w:r>
        <w:rPr>
          <w:rFonts w:hint="eastAsia" w:ascii="仿宋_GB2312" w:eastAsia="仿宋_GB2312"/>
          <w:sz w:val="32"/>
          <w:szCs w:val="32"/>
          <w:lang w:val="en-US" w:eastAsia="zh-CN"/>
        </w:rPr>
        <w:t>1套</w:t>
      </w:r>
      <w:r>
        <w:rPr>
          <w:rFonts w:hint="eastAsia" w:ascii="仿宋_GB2312" w:eastAsia="仿宋_GB2312"/>
          <w:sz w:val="32"/>
          <w:szCs w:val="32"/>
        </w:rPr>
        <w:t>，实际完成值是</w:t>
      </w:r>
      <w:r>
        <w:rPr>
          <w:rFonts w:hint="eastAsia" w:ascii="仿宋_GB2312" w:eastAsia="仿宋_GB2312"/>
          <w:sz w:val="32"/>
          <w:szCs w:val="32"/>
          <w:lang w:val="en-US" w:eastAsia="zh-CN"/>
        </w:rPr>
        <w:t>1套</w:t>
      </w:r>
      <w:r>
        <w:rPr>
          <w:rFonts w:hint="eastAsia" w:ascii="仿宋_GB2312" w:eastAsia="仿宋_GB2312"/>
          <w:sz w:val="32"/>
          <w:szCs w:val="32"/>
        </w:rPr>
        <w:t>，指标完成率是</w:t>
      </w:r>
      <w:r>
        <w:rPr>
          <w:rFonts w:hint="eastAsia" w:ascii="仿宋_GB2312" w:eastAsia="仿宋_GB2312"/>
          <w:sz w:val="32"/>
          <w:szCs w:val="32"/>
          <w:lang w:eastAsia="zh-CN"/>
        </w:rPr>
        <w:t>1</w:t>
      </w:r>
      <w:r>
        <w:rPr>
          <w:rFonts w:hint="eastAsia" w:ascii="仿宋_GB2312" w:eastAsia="仿宋_GB2312"/>
          <w:sz w:val="32"/>
          <w:szCs w:val="32"/>
          <w:lang w:val="en-US" w:eastAsia="zh-CN"/>
        </w:rPr>
        <w:t>00</w:t>
      </w:r>
      <w:r>
        <w:rPr>
          <w:rFonts w:hint="eastAsia" w:ascii="仿宋_GB2312" w:eastAsia="仿宋_GB2312"/>
          <w:sz w:val="32"/>
          <w:szCs w:val="32"/>
        </w:rPr>
        <w:t>%达到预期目标。</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项目产出</w:t>
      </w:r>
      <w:r>
        <w:rPr>
          <w:rFonts w:hint="eastAsia" w:ascii="仿宋_GB2312" w:eastAsia="仿宋_GB2312"/>
          <w:sz w:val="32"/>
          <w:szCs w:val="32"/>
          <w:lang w:eastAsia="zh-CN"/>
        </w:rPr>
        <w:t>数量</w:t>
      </w:r>
      <w:r>
        <w:rPr>
          <w:rFonts w:hint="eastAsia" w:ascii="仿宋_GB2312" w:eastAsia="仿宋_GB2312"/>
          <w:sz w:val="32"/>
          <w:szCs w:val="32"/>
        </w:rPr>
        <w:t>指标</w:t>
      </w:r>
      <w:r>
        <w:rPr>
          <w:rFonts w:hint="eastAsia" w:ascii="仿宋_GB2312" w:eastAsia="仿宋_GB2312"/>
          <w:sz w:val="32"/>
          <w:szCs w:val="32"/>
          <w:lang w:eastAsia="zh-CN"/>
        </w:rPr>
        <w:t>为</w:t>
      </w:r>
      <w:r>
        <w:rPr>
          <w:rFonts w:hint="eastAsia" w:ascii="仿宋_GB2312" w:eastAsia="仿宋_GB2312"/>
          <w:sz w:val="32"/>
          <w:szCs w:val="32"/>
        </w:rPr>
        <w:t>举办全地区结核病防治和诊断培训，预期指标是</w:t>
      </w:r>
      <w:r>
        <w:rPr>
          <w:rFonts w:hint="eastAsia" w:ascii="仿宋_GB2312" w:eastAsia="仿宋_GB2312"/>
          <w:sz w:val="32"/>
          <w:szCs w:val="32"/>
          <w:lang w:val="en-US" w:eastAsia="zh-CN"/>
        </w:rPr>
        <w:t>2次</w:t>
      </w:r>
      <w:r>
        <w:rPr>
          <w:rFonts w:hint="eastAsia" w:ascii="仿宋_GB2312" w:eastAsia="仿宋_GB2312"/>
          <w:sz w:val="32"/>
          <w:szCs w:val="32"/>
        </w:rPr>
        <w:t>，实际完成值是</w:t>
      </w:r>
      <w:r>
        <w:rPr>
          <w:rFonts w:hint="eastAsia" w:ascii="仿宋_GB2312" w:eastAsia="仿宋_GB2312"/>
          <w:sz w:val="32"/>
          <w:szCs w:val="32"/>
          <w:lang w:val="en-US" w:eastAsia="zh-CN"/>
        </w:rPr>
        <w:t>3次</w:t>
      </w:r>
      <w:r>
        <w:rPr>
          <w:rFonts w:hint="eastAsia" w:ascii="仿宋_GB2312" w:eastAsia="仿宋_GB2312"/>
          <w:sz w:val="32"/>
          <w:szCs w:val="32"/>
        </w:rPr>
        <w:t>，指标完成率是</w:t>
      </w:r>
      <w:r>
        <w:rPr>
          <w:rFonts w:hint="eastAsia" w:ascii="仿宋_GB2312" w:eastAsia="仿宋_GB2312"/>
          <w:sz w:val="32"/>
          <w:szCs w:val="32"/>
          <w:lang w:eastAsia="zh-CN"/>
        </w:rPr>
        <w:t>1</w:t>
      </w:r>
      <w:r>
        <w:rPr>
          <w:rFonts w:hint="eastAsia" w:ascii="仿宋_GB2312" w:eastAsia="仿宋_GB2312"/>
          <w:sz w:val="32"/>
          <w:szCs w:val="32"/>
          <w:lang w:val="en-US" w:eastAsia="zh-CN"/>
        </w:rPr>
        <w:t>00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达到预期目标。</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项目产出</w:t>
      </w:r>
      <w:r>
        <w:rPr>
          <w:rFonts w:hint="eastAsia" w:ascii="仿宋_GB2312" w:eastAsia="仿宋_GB2312"/>
          <w:sz w:val="32"/>
          <w:szCs w:val="32"/>
          <w:lang w:eastAsia="zh-CN"/>
        </w:rPr>
        <w:t>数量</w:t>
      </w:r>
      <w:r>
        <w:rPr>
          <w:rFonts w:hint="eastAsia" w:ascii="仿宋_GB2312" w:eastAsia="仿宋_GB2312"/>
          <w:sz w:val="32"/>
          <w:szCs w:val="32"/>
        </w:rPr>
        <w:t>指标</w:t>
      </w:r>
      <w:r>
        <w:rPr>
          <w:rFonts w:hint="eastAsia" w:ascii="仿宋_GB2312" w:eastAsia="仿宋_GB2312"/>
          <w:sz w:val="32"/>
          <w:szCs w:val="32"/>
          <w:lang w:eastAsia="zh-CN"/>
        </w:rPr>
        <w:t>为</w:t>
      </w:r>
      <w:r>
        <w:rPr>
          <w:rFonts w:hint="eastAsia" w:ascii="仿宋_GB2312" w:eastAsia="仿宋_GB2312"/>
          <w:sz w:val="32"/>
          <w:szCs w:val="32"/>
        </w:rPr>
        <w:t>全区结核病防治工作督导、现场指导，预期指标是</w:t>
      </w:r>
      <w:r>
        <w:rPr>
          <w:rFonts w:hint="eastAsia" w:ascii="仿宋_GB2312" w:eastAsia="仿宋_GB2312"/>
          <w:sz w:val="32"/>
          <w:szCs w:val="32"/>
          <w:lang w:val="en-US" w:eastAsia="zh-CN"/>
        </w:rPr>
        <w:t>4次</w:t>
      </w:r>
      <w:r>
        <w:rPr>
          <w:rFonts w:hint="eastAsia" w:ascii="仿宋_GB2312" w:eastAsia="仿宋_GB2312"/>
          <w:sz w:val="32"/>
          <w:szCs w:val="32"/>
        </w:rPr>
        <w:t>，实际完成值是</w:t>
      </w:r>
      <w:r>
        <w:rPr>
          <w:rFonts w:hint="eastAsia" w:ascii="仿宋_GB2312" w:eastAsia="仿宋_GB2312"/>
          <w:sz w:val="32"/>
          <w:szCs w:val="32"/>
          <w:lang w:val="en-US" w:eastAsia="zh-CN"/>
        </w:rPr>
        <w:t>5次</w:t>
      </w:r>
      <w:r>
        <w:rPr>
          <w:rFonts w:hint="eastAsia" w:ascii="仿宋_GB2312" w:eastAsia="仿宋_GB2312"/>
          <w:sz w:val="32"/>
          <w:szCs w:val="32"/>
        </w:rPr>
        <w:t>，指标完成率是</w:t>
      </w:r>
      <w:r>
        <w:rPr>
          <w:rFonts w:hint="eastAsia" w:ascii="仿宋_GB2312" w:eastAsia="仿宋_GB2312"/>
          <w:sz w:val="32"/>
          <w:szCs w:val="32"/>
          <w:lang w:eastAsia="zh-CN"/>
        </w:rPr>
        <w:t>1</w:t>
      </w:r>
      <w:r>
        <w:rPr>
          <w:rFonts w:hint="eastAsia" w:ascii="仿宋_GB2312" w:eastAsia="仿宋_GB2312"/>
          <w:sz w:val="32"/>
          <w:szCs w:val="32"/>
          <w:lang w:val="en-US" w:eastAsia="zh-CN"/>
        </w:rPr>
        <w:t>00</w:t>
      </w:r>
      <w:r>
        <w:rPr>
          <w:rFonts w:hint="eastAsia" w:ascii="仿宋_GB2312" w:eastAsia="仿宋_GB2312"/>
          <w:sz w:val="32"/>
          <w:szCs w:val="32"/>
        </w:rPr>
        <w:t>%达到预期目标</w:t>
      </w:r>
      <w:r>
        <w:rPr>
          <w:rFonts w:hint="eastAsia" w:ascii="仿宋_GB2312" w:eastAsia="仿宋_GB2312"/>
          <w:sz w:val="32"/>
          <w:szCs w:val="32"/>
          <w:lang w:eastAsia="zh-CN"/>
        </w:rPr>
        <w:t>而超标原因：为了加强防治结核病工作人员工作效率</w:t>
      </w:r>
      <w:r>
        <w:rPr>
          <w:rFonts w:hint="eastAsia" w:ascii="仿宋_GB2312" w:eastAsia="仿宋_GB2312"/>
          <w:sz w:val="32"/>
          <w:szCs w:val="32"/>
        </w:rPr>
        <w:t>。</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项目产出</w:t>
      </w:r>
      <w:r>
        <w:rPr>
          <w:rFonts w:hint="eastAsia" w:ascii="仿宋_GB2312" w:eastAsia="仿宋_GB2312"/>
          <w:sz w:val="32"/>
          <w:szCs w:val="32"/>
          <w:lang w:eastAsia="zh-CN"/>
        </w:rPr>
        <w:t>数量</w:t>
      </w:r>
      <w:r>
        <w:rPr>
          <w:rFonts w:hint="eastAsia" w:ascii="仿宋_GB2312" w:eastAsia="仿宋_GB2312"/>
          <w:sz w:val="32"/>
          <w:szCs w:val="32"/>
        </w:rPr>
        <w:t>指标</w:t>
      </w:r>
      <w:r>
        <w:rPr>
          <w:rFonts w:hint="eastAsia" w:ascii="仿宋_GB2312" w:eastAsia="仿宋_GB2312"/>
          <w:sz w:val="32"/>
          <w:szCs w:val="32"/>
          <w:lang w:eastAsia="zh-CN"/>
        </w:rPr>
        <w:t>为</w:t>
      </w:r>
      <w:r>
        <w:rPr>
          <w:rFonts w:hint="eastAsia" w:ascii="仿宋_GB2312" w:eastAsia="仿宋_GB2312"/>
          <w:sz w:val="32"/>
          <w:szCs w:val="32"/>
        </w:rPr>
        <w:t>肺结核患者耐药筛查实验室试剂及耗材，预期指标是</w:t>
      </w:r>
      <w:r>
        <w:rPr>
          <w:rFonts w:hint="eastAsia" w:ascii="仿宋_GB2312" w:eastAsia="仿宋_GB2312"/>
          <w:sz w:val="32"/>
          <w:szCs w:val="32"/>
          <w:lang w:val="en-US" w:eastAsia="zh-CN"/>
        </w:rPr>
        <w:t>940人</w:t>
      </w:r>
      <w:r>
        <w:rPr>
          <w:rFonts w:hint="eastAsia" w:ascii="仿宋_GB2312" w:eastAsia="仿宋_GB2312"/>
          <w:sz w:val="32"/>
          <w:szCs w:val="32"/>
        </w:rPr>
        <w:t>，实际完成值是</w:t>
      </w:r>
      <w:r>
        <w:rPr>
          <w:rFonts w:hint="eastAsia" w:ascii="仿宋_GB2312" w:eastAsia="仿宋_GB2312"/>
          <w:sz w:val="32"/>
          <w:szCs w:val="32"/>
          <w:lang w:val="en-US" w:eastAsia="zh-CN"/>
        </w:rPr>
        <w:t>1080人</w:t>
      </w:r>
      <w:r>
        <w:rPr>
          <w:rFonts w:hint="eastAsia" w:ascii="仿宋_GB2312" w:eastAsia="仿宋_GB2312"/>
          <w:sz w:val="32"/>
          <w:szCs w:val="32"/>
        </w:rPr>
        <w:t>，指标完成率是</w:t>
      </w:r>
      <w:r>
        <w:rPr>
          <w:rFonts w:hint="eastAsia" w:ascii="仿宋_GB2312" w:eastAsia="仿宋_GB2312"/>
          <w:sz w:val="32"/>
          <w:szCs w:val="32"/>
          <w:lang w:eastAsia="zh-CN"/>
        </w:rPr>
        <w:t>1</w:t>
      </w:r>
      <w:r>
        <w:rPr>
          <w:rFonts w:hint="eastAsia" w:ascii="仿宋_GB2312" w:eastAsia="仿宋_GB2312"/>
          <w:sz w:val="32"/>
          <w:szCs w:val="32"/>
          <w:lang w:val="en-US" w:eastAsia="zh-CN"/>
        </w:rPr>
        <w:t>00</w:t>
      </w:r>
      <w:r>
        <w:rPr>
          <w:rFonts w:hint="eastAsia" w:ascii="仿宋_GB2312" w:eastAsia="仿宋_GB2312"/>
          <w:sz w:val="32"/>
          <w:szCs w:val="32"/>
        </w:rPr>
        <w:t>%达到预期目标。</w:t>
      </w:r>
    </w:p>
    <w:p>
      <w:pPr>
        <w:spacing w:before="156"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rPr>
        <w:t>项目产出</w:t>
      </w:r>
      <w:r>
        <w:rPr>
          <w:rFonts w:hint="eastAsia" w:ascii="仿宋_GB2312" w:eastAsia="仿宋_GB2312"/>
          <w:sz w:val="32"/>
          <w:szCs w:val="32"/>
          <w:lang w:eastAsia="zh-CN"/>
        </w:rPr>
        <w:t>数量</w:t>
      </w:r>
      <w:r>
        <w:rPr>
          <w:rFonts w:hint="eastAsia" w:ascii="仿宋_GB2312" w:eastAsia="仿宋_GB2312"/>
          <w:sz w:val="32"/>
          <w:szCs w:val="32"/>
        </w:rPr>
        <w:t>指标</w:t>
      </w:r>
      <w:r>
        <w:rPr>
          <w:rFonts w:hint="eastAsia" w:ascii="仿宋_GB2312" w:eastAsia="仿宋_GB2312"/>
          <w:sz w:val="32"/>
          <w:szCs w:val="32"/>
          <w:lang w:eastAsia="zh-CN"/>
        </w:rPr>
        <w:t>为</w:t>
      </w:r>
      <w:r>
        <w:rPr>
          <w:rFonts w:hint="eastAsia" w:ascii="仿宋_GB2312" w:eastAsia="仿宋_GB2312"/>
          <w:sz w:val="32"/>
          <w:szCs w:val="32"/>
        </w:rPr>
        <w:t>肺结核防治健康促进印刷宣传材料、宣传品，预期指标是</w:t>
      </w:r>
      <w:r>
        <w:rPr>
          <w:rFonts w:hint="eastAsia" w:ascii="仿宋_GB2312" w:eastAsia="仿宋_GB2312"/>
          <w:sz w:val="32"/>
          <w:szCs w:val="32"/>
          <w:lang w:val="en-US" w:eastAsia="zh-CN"/>
        </w:rPr>
        <w:t>310750份</w:t>
      </w:r>
      <w:r>
        <w:rPr>
          <w:rFonts w:hint="eastAsia" w:ascii="仿宋_GB2312" w:eastAsia="仿宋_GB2312"/>
          <w:sz w:val="32"/>
          <w:szCs w:val="32"/>
        </w:rPr>
        <w:t>，实际完成值是</w:t>
      </w:r>
      <w:r>
        <w:rPr>
          <w:rFonts w:hint="eastAsia" w:ascii="仿宋_GB2312" w:eastAsia="仿宋_GB2312"/>
          <w:sz w:val="32"/>
          <w:szCs w:val="32"/>
          <w:lang w:val="en-US" w:eastAsia="zh-CN"/>
        </w:rPr>
        <w:t>310750份</w:t>
      </w:r>
      <w:r>
        <w:rPr>
          <w:rFonts w:hint="eastAsia" w:ascii="仿宋_GB2312" w:eastAsia="仿宋_GB2312"/>
          <w:sz w:val="32"/>
          <w:szCs w:val="32"/>
        </w:rPr>
        <w:t>，指标完成率是</w:t>
      </w:r>
      <w:r>
        <w:rPr>
          <w:rFonts w:hint="eastAsia" w:ascii="仿宋_GB2312" w:eastAsia="仿宋_GB2312"/>
          <w:sz w:val="32"/>
          <w:szCs w:val="32"/>
          <w:lang w:eastAsia="zh-CN"/>
        </w:rPr>
        <w:t>1</w:t>
      </w:r>
      <w:r>
        <w:rPr>
          <w:rFonts w:hint="eastAsia" w:ascii="仿宋_GB2312" w:eastAsia="仿宋_GB2312"/>
          <w:sz w:val="32"/>
          <w:szCs w:val="32"/>
          <w:lang w:val="en-US" w:eastAsia="zh-CN"/>
        </w:rPr>
        <w:t>00</w:t>
      </w:r>
      <w:r>
        <w:rPr>
          <w:rFonts w:hint="eastAsia" w:ascii="仿宋_GB2312" w:eastAsia="仿宋_GB2312"/>
          <w:sz w:val="32"/>
          <w:szCs w:val="32"/>
        </w:rPr>
        <w:t>%达到预期目标。</w:t>
      </w:r>
    </w:p>
    <w:p>
      <w:pPr>
        <w:spacing w:before="156"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rPr>
        <w:t>项目产出质量指标</w:t>
      </w:r>
      <w:r>
        <w:rPr>
          <w:rFonts w:hint="eastAsia" w:ascii="仿宋_GB2312" w:eastAsia="仿宋_GB2312"/>
          <w:sz w:val="32"/>
          <w:szCs w:val="32"/>
          <w:lang w:eastAsia="zh-CN"/>
        </w:rPr>
        <w:t>为</w:t>
      </w:r>
      <w:r>
        <w:rPr>
          <w:rFonts w:hint="eastAsia" w:ascii="仿宋_GB2312" w:eastAsia="仿宋_GB2312"/>
          <w:sz w:val="32"/>
          <w:szCs w:val="32"/>
        </w:rPr>
        <w:t>为药品耗材验收合格率，预期指标是</w:t>
      </w:r>
      <w:r>
        <w:rPr>
          <w:rFonts w:hint="eastAsia" w:ascii="仿宋_GB2312" w:eastAsia="仿宋_GB2312"/>
          <w:sz w:val="32"/>
          <w:szCs w:val="32"/>
          <w:lang w:val="en-US" w:eastAsia="zh-CN"/>
        </w:rPr>
        <w:t>95%</w:t>
      </w:r>
      <w:r>
        <w:rPr>
          <w:rFonts w:hint="eastAsia" w:ascii="仿宋_GB2312" w:eastAsia="仿宋_GB2312"/>
          <w:sz w:val="32"/>
          <w:szCs w:val="32"/>
        </w:rPr>
        <w:t>，实际完成值是</w:t>
      </w:r>
      <w:r>
        <w:rPr>
          <w:rFonts w:hint="eastAsia" w:ascii="仿宋_GB2312" w:eastAsia="仿宋_GB2312"/>
          <w:sz w:val="32"/>
          <w:szCs w:val="32"/>
          <w:lang w:eastAsia="zh-CN"/>
        </w:rPr>
        <w:t>1</w:t>
      </w:r>
      <w:r>
        <w:rPr>
          <w:rFonts w:hint="eastAsia" w:ascii="仿宋_GB2312" w:eastAsia="仿宋_GB2312"/>
          <w:sz w:val="32"/>
          <w:szCs w:val="32"/>
          <w:lang w:val="en-US" w:eastAsia="zh-CN"/>
        </w:rPr>
        <w:t>00%</w:t>
      </w:r>
      <w:r>
        <w:rPr>
          <w:rFonts w:hint="eastAsia" w:ascii="仿宋_GB2312" w:eastAsia="仿宋_GB2312"/>
          <w:sz w:val="32"/>
          <w:szCs w:val="32"/>
        </w:rPr>
        <w:t>，指标达到预期目标</w:t>
      </w:r>
      <w:r>
        <w:rPr>
          <w:rFonts w:hint="eastAsia" w:ascii="仿宋_GB2312" w:eastAsia="仿宋_GB2312"/>
          <w:sz w:val="32"/>
          <w:szCs w:val="32"/>
          <w:lang w:eastAsia="zh-CN"/>
        </w:rPr>
        <w:t>。</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项目产出质量指标</w:t>
      </w:r>
      <w:r>
        <w:rPr>
          <w:rFonts w:hint="eastAsia" w:ascii="仿宋_GB2312" w:eastAsia="仿宋_GB2312"/>
          <w:sz w:val="32"/>
          <w:szCs w:val="32"/>
          <w:lang w:eastAsia="zh-CN"/>
        </w:rPr>
        <w:t>为</w:t>
      </w:r>
      <w:r>
        <w:rPr>
          <w:rFonts w:hint="eastAsia" w:ascii="仿宋_GB2312" w:eastAsia="仿宋_GB2312"/>
          <w:sz w:val="32"/>
          <w:szCs w:val="32"/>
        </w:rPr>
        <w:t>为肺结核患者管理信息系统验收合格率，预期指标是</w:t>
      </w:r>
      <w:r>
        <w:rPr>
          <w:rFonts w:hint="eastAsia" w:ascii="仿宋_GB2312" w:eastAsia="仿宋_GB2312"/>
          <w:sz w:val="32"/>
          <w:szCs w:val="32"/>
          <w:lang w:eastAsia="zh-CN"/>
        </w:rPr>
        <w:t>1</w:t>
      </w:r>
      <w:r>
        <w:rPr>
          <w:rFonts w:hint="eastAsia" w:ascii="仿宋_GB2312" w:eastAsia="仿宋_GB2312"/>
          <w:sz w:val="32"/>
          <w:szCs w:val="32"/>
          <w:lang w:val="en-US" w:eastAsia="zh-CN"/>
        </w:rPr>
        <w:t>00%</w:t>
      </w:r>
      <w:r>
        <w:rPr>
          <w:rFonts w:hint="eastAsia" w:ascii="仿宋_GB2312" w:eastAsia="仿宋_GB2312"/>
          <w:sz w:val="32"/>
          <w:szCs w:val="32"/>
        </w:rPr>
        <w:t>，实际完成值是</w:t>
      </w:r>
      <w:r>
        <w:rPr>
          <w:rFonts w:hint="eastAsia" w:ascii="仿宋_GB2312" w:eastAsia="仿宋_GB2312"/>
          <w:sz w:val="32"/>
          <w:szCs w:val="32"/>
          <w:lang w:eastAsia="zh-CN"/>
        </w:rPr>
        <w:t>1</w:t>
      </w:r>
      <w:r>
        <w:rPr>
          <w:rFonts w:hint="eastAsia" w:ascii="仿宋_GB2312" w:eastAsia="仿宋_GB2312"/>
          <w:sz w:val="32"/>
          <w:szCs w:val="32"/>
          <w:lang w:val="en-US" w:eastAsia="zh-CN"/>
        </w:rPr>
        <w:t>00%</w:t>
      </w:r>
      <w:r>
        <w:rPr>
          <w:rFonts w:hint="eastAsia" w:ascii="仿宋_GB2312" w:eastAsia="仿宋_GB2312"/>
          <w:sz w:val="32"/>
          <w:szCs w:val="32"/>
        </w:rPr>
        <w:t>，指标完成率是</w:t>
      </w:r>
      <w:r>
        <w:rPr>
          <w:rFonts w:hint="eastAsia" w:ascii="仿宋_GB2312" w:eastAsia="仿宋_GB2312"/>
          <w:sz w:val="32"/>
          <w:szCs w:val="32"/>
          <w:lang w:eastAsia="zh-CN"/>
        </w:rPr>
        <w:t>1</w:t>
      </w:r>
      <w:r>
        <w:rPr>
          <w:rFonts w:hint="eastAsia" w:ascii="仿宋_GB2312" w:eastAsia="仿宋_GB2312"/>
          <w:sz w:val="32"/>
          <w:szCs w:val="32"/>
          <w:lang w:val="en-US" w:eastAsia="zh-CN"/>
        </w:rPr>
        <w:t>00</w:t>
      </w:r>
      <w:r>
        <w:rPr>
          <w:rFonts w:hint="eastAsia" w:ascii="仿宋_GB2312" w:eastAsia="仿宋_GB2312"/>
          <w:sz w:val="32"/>
          <w:szCs w:val="32"/>
        </w:rPr>
        <w:t>%达到预期目标。</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项目产出质量指标</w:t>
      </w:r>
      <w:r>
        <w:rPr>
          <w:rFonts w:hint="eastAsia" w:ascii="仿宋_GB2312" w:eastAsia="仿宋_GB2312"/>
          <w:sz w:val="32"/>
          <w:szCs w:val="32"/>
          <w:lang w:eastAsia="zh-CN"/>
        </w:rPr>
        <w:t>为</w:t>
      </w:r>
      <w:r>
        <w:rPr>
          <w:rFonts w:hint="eastAsia" w:ascii="仿宋_GB2312" w:eastAsia="仿宋_GB2312"/>
          <w:sz w:val="32"/>
          <w:szCs w:val="32"/>
        </w:rPr>
        <w:t>肺结核患者耐药筛查实验室试剂验收合格率，预期指标是</w:t>
      </w:r>
      <w:r>
        <w:rPr>
          <w:rFonts w:hint="eastAsia" w:ascii="仿宋_GB2312" w:eastAsia="仿宋_GB2312"/>
          <w:sz w:val="32"/>
          <w:szCs w:val="32"/>
          <w:lang w:val="en-US" w:eastAsia="zh-CN"/>
        </w:rPr>
        <w:t>100%</w:t>
      </w:r>
      <w:r>
        <w:rPr>
          <w:rFonts w:hint="eastAsia" w:ascii="仿宋_GB2312" w:eastAsia="仿宋_GB2312"/>
          <w:sz w:val="32"/>
          <w:szCs w:val="32"/>
        </w:rPr>
        <w:t>，实际完成值是</w:t>
      </w:r>
      <w:r>
        <w:rPr>
          <w:rFonts w:hint="eastAsia" w:ascii="仿宋_GB2312" w:eastAsia="仿宋_GB2312"/>
          <w:sz w:val="32"/>
          <w:szCs w:val="32"/>
          <w:lang w:val="en-US" w:eastAsia="zh-CN"/>
        </w:rPr>
        <w:t>100%</w:t>
      </w:r>
      <w:r>
        <w:rPr>
          <w:rFonts w:hint="eastAsia" w:ascii="仿宋_GB2312" w:eastAsia="仿宋_GB2312"/>
          <w:sz w:val="32"/>
          <w:szCs w:val="32"/>
        </w:rPr>
        <w:t>，指标完成率是</w:t>
      </w:r>
      <w:r>
        <w:rPr>
          <w:rFonts w:hint="eastAsia" w:ascii="仿宋_GB2312" w:eastAsia="仿宋_GB2312"/>
          <w:sz w:val="32"/>
          <w:szCs w:val="32"/>
          <w:lang w:eastAsia="zh-CN"/>
        </w:rPr>
        <w:t>1</w:t>
      </w:r>
      <w:r>
        <w:rPr>
          <w:rFonts w:hint="eastAsia" w:ascii="仿宋_GB2312" w:eastAsia="仿宋_GB2312"/>
          <w:sz w:val="32"/>
          <w:szCs w:val="32"/>
          <w:lang w:val="en-US" w:eastAsia="zh-CN"/>
        </w:rPr>
        <w:t>00</w:t>
      </w:r>
      <w:r>
        <w:rPr>
          <w:rFonts w:hint="eastAsia" w:ascii="仿宋_GB2312" w:eastAsia="仿宋_GB2312"/>
          <w:sz w:val="32"/>
          <w:szCs w:val="32"/>
        </w:rPr>
        <w:t>%达到预期目标。</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项目产出时效指标</w:t>
      </w:r>
      <w:r>
        <w:rPr>
          <w:rFonts w:hint="eastAsia" w:ascii="仿宋_GB2312" w:eastAsia="仿宋_GB2312"/>
          <w:sz w:val="32"/>
          <w:szCs w:val="32"/>
          <w:lang w:eastAsia="zh-CN"/>
        </w:rPr>
        <w:t>为</w:t>
      </w:r>
      <w:r>
        <w:rPr>
          <w:rFonts w:hint="eastAsia" w:ascii="仿宋_GB2312" w:eastAsia="仿宋_GB2312"/>
          <w:sz w:val="32"/>
          <w:szCs w:val="32"/>
        </w:rPr>
        <w:t>结核病防治工作督导、现场指导完成时间，预期指标是</w:t>
      </w:r>
      <w:r>
        <w:rPr>
          <w:rFonts w:hint="eastAsia" w:ascii="仿宋_GB2312" w:eastAsia="仿宋_GB2312"/>
          <w:sz w:val="32"/>
          <w:szCs w:val="32"/>
          <w:lang w:val="en-US" w:eastAsia="zh-CN"/>
        </w:rPr>
        <w:t>100%</w:t>
      </w:r>
      <w:r>
        <w:rPr>
          <w:rFonts w:hint="eastAsia" w:ascii="仿宋_GB2312" w:eastAsia="仿宋_GB2312"/>
          <w:sz w:val="32"/>
          <w:szCs w:val="32"/>
        </w:rPr>
        <w:t>，实际完成值是</w:t>
      </w:r>
      <w:r>
        <w:rPr>
          <w:rFonts w:hint="eastAsia" w:ascii="仿宋_GB2312" w:eastAsia="仿宋_GB2312"/>
          <w:sz w:val="32"/>
          <w:szCs w:val="32"/>
          <w:lang w:val="en-US" w:eastAsia="zh-CN"/>
        </w:rPr>
        <w:t>100%</w:t>
      </w:r>
      <w:r>
        <w:rPr>
          <w:rFonts w:hint="eastAsia" w:ascii="仿宋_GB2312" w:eastAsia="仿宋_GB2312"/>
          <w:sz w:val="32"/>
          <w:szCs w:val="32"/>
        </w:rPr>
        <w:t>，指标完成率是</w:t>
      </w:r>
      <w:r>
        <w:rPr>
          <w:rFonts w:hint="eastAsia" w:ascii="仿宋_GB2312" w:eastAsia="仿宋_GB2312"/>
          <w:sz w:val="32"/>
          <w:szCs w:val="32"/>
          <w:lang w:eastAsia="zh-CN"/>
        </w:rPr>
        <w:t>1</w:t>
      </w:r>
      <w:r>
        <w:rPr>
          <w:rFonts w:hint="eastAsia" w:ascii="仿宋_GB2312" w:eastAsia="仿宋_GB2312"/>
          <w:sz w:val="32"/>
          <w:szCs w:val="32"/>
          <w:lang w:val="en-US" w:eastAsia="zh-CN"/>
        </w:rPr>
        <w:t>00</w:t>
      </w:r>
      <w:r>
        <w:rPr>
          <w:rFonts w:hint="eastAsia" w:ascii="仿宋_GB2312" w:eastAsia="仿宋_GB2312"/>
          <w:sz w:val="32"/>
          <w:szCs w:val="32"/>
        </w:rPr>
        <w:t>%达到预期目标。</w:t>
      </w:r>
    </w:p>
    <w:p>
      <w:pPr>
        <w:spacing w:before="156"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rPr>
        <w:t>项目产出时效指标</w:t>
      </w:r>
      <w:r>
        <w:rPr>
          <w:rFonts w:hint="eastAsia" w:ascii="仿宋_GB2312" w:eastAsia="仿宋_GB2312"/>
          <w:sz w:val="32"/>
          <w:szCs w:val="32"/>
          <w:lang w:eastAsia="zh-CN"/>
        </w:rPr>
        <w:t>为</w:t>
      </w:r>
      <w:r>
        <w:rPr>
          <w:rFonts w:hint="eastAsia" w:ascii="仿宋_GB2312" w:eastAsia="仿宋_GB2312"/>
          <w:sz w:val="32"/>
          <w:szCs w:val="32"/>
        </w:rPr>
        <w:t>举办全地区结核病防治和诊断培训完成时间，预期指标是</w:t>
      </w:r>
      <w:r>
        <w:rPr>
          <w:rFonts w:hint="eastAsia" w:ascii="仿宋_GB2312" w:eastAsia="仿宋_GB2312"/>
          <w:sz w:val="32"/>
          <w:szCs w:val="32"/>
          <w:lang w:val="en-US" w:eastAsia="zh-CN"/>
        </w:rPr>
        <w:t>100%</w:t>
      </w:r>
      <w:r>
        <w:rPr>
          <w:rFonts w:hint="eastAsia" w:ascii="仿宋_GB2312" w:eastAsia="仿宋_GB2312"/>
          <w:sz w:val="32"/>
          <w:szCs w:val="32"/>
        </w:rPr>
        <w:t>，实际完成值是</w:t>
      </w:r>
      <w:r>
        <w:rPr>
          <w:rFonts w:hint="eastAsia" w:ascii="仿宋_GB2312" w:eastAsia="仿宋_GB2312"/>
          <w:sz w:val="32"/>
          <w:szCs w:val="32"/>
          <w:lang w:val="en-US" w:eastAsia="zh-CN"/>
        </w:rPr>
        <w:t>100%</w:t>
      </w:r>
      <w:r>
        <w:rPr>
          <w:rFonts w:hint="eastAsia" w:ascii="仿宋_GB2312" w:eastAsia="仿宋_GB2312"/>
          <w:sz w:val="32"/>
          <w:szCs w:val="32"/>
        </w:rPr>
        <w:t>，指标完成率是</w:t>
      </w:r>
      <w:r>
        <w:rPr>
          <w:rFonts w:hint="eastAsia" w:ascii="仿宋_GB2312" w:eastAsia="仿宋_GB2312"/>
          <w:sz w:val="32"/>
          <w:szCs w:val="32"/>
          <w:lang w:eastAsia="zh-CN"/>
        </w:rPr>
        <w:t>1</w:t>
      </w:r>
      <w:r>
        <w:rPr>
          <w:rFonts w:hint="eastAsia" w:ascii="仿宋_GB2312" w:eastAsia="仿宋_GB2312"/>
          <w:sz w:val="32"/>
          <w:szCs w:val="32"/>
          <w:lang w:val="en-US" w:eastAsia="zh-CN"/>
        </w:rPr>
        <w:t>00</w:t>
      </w:r>
      <w:r>
        <w:rPr>
          <w:rFonts w:hint="eastAsia" w:ascii="仿宋_GB2312" w:eastAsia="仿宋_GB2312"/>
          <w:sz w:val="32"/>
          <w:szCs w:val="32"/>
        </w:rPr>
        <w:t>%达到预期目标。</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项目产出成本指标</w:t>
      </w:r>
      <w:r>
        <w:rPr>
          <w:rFonts w:hint="eastAsia" w:ascii="仿宋_GB2312" w:eastAsia="仿宋_GB2312"/>
          <w:sz w:val="32"/>
          <w:szCs w:val="32"/>
          <w:lang w:eastAsia="zh-CN"/>
        </w:rPr>
        <w:t>为</w:t>
      </w:r>
      <w:r>
        <w:rPr>
          <w:rFonts w:hint="eastAsia" w:ascii="仿宋_GB2312" w:eastAsia="仿宋_GB2312"/>
          <w:sz w:val="32"/>
          <w:szCs w:val="32"/>
        </w:rPr>
        <w:t>肺结核患者耐药筛查实验室试剂及耗材支出，预期指标是</w:t>
      </w:r>
      <w:r>
        <w:rPr>
          <w:rFonts w:hint="eastAsia" w:ascii="仿宋_GB2312" w:eastAsia="仿宋_GB2312"/>
          <w:sz w:val="32"/>
          <w:szCs w:val="32"/>
          <w:lang w:val="en-US" w:eastAsia="zh-CN"/>
        </w:rPr>
        <w:t>23.52万元</w:t>
      </w:r>
      <w:r>
        <w:rPr>
          <w:rFonts w:hint="eastAsia" w:ascii="仿宋_GB2312" w:eastAsia="仿宋_GB2312"/>
          <w:sz w:val="32"/>
          <w:szCs w:val="32"/>
        </w:rPr>
        <w:t>，实际完成值是</w:t>
      </w:r>
      <w:r>
        <w:rPr>
          <w:rFonts w:hint="eastAsia" w:ascii="仿宋_GB2312" w:eastAsia="仿宋_GB2312"/>
          <w:sz w:val="32"/>
          <w:szCs w:val="32"/>
          <w:lang w:val="en-US" w:eastAsia="zh-CN"/>
        </w:rPr>
        <w:t>23.52万元</w:t>
      </w:r>
      <w:r>
        <w:rPr>
          <w:rFonts w:hint="eastAsia" w:ascii="仿宋_GB2312" w:eastAsia="仿宋_GB2312"/>
          <w:sz w:val="32"/>
          <w:szCs w:val="32"/>
        </w:rPr>
        <w:t>，指标完成率是</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达到预期目标。</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highlight w:val="none"/>
        </w:rPr>
        <w:t>项目产出成本指标</w:t>
      </w:r>
      <w:r>
        <w:rPr>
          <w:rFonts w:hint="eastAsia" w:ascii="仿宋_GB2312" w:eastAsia="仿宋_GB2312"/>
          <w:sz w:val="32"/>
          <w:szCs w:val="32"/>
          <w:highlight w:val="none"/>
          <w:lang w:eastAsia="zh-CN"/>
        </w:rPr>
        <w:t>为</w:t>
      </w:r>
      <w:r>
        <w:rPr>
          <w:rFonts w:hint="eastAsia" w:ascii="仿宋_GB2312" w:eastAsia="仿宋_GB2312"/>
          <w:sz w:val="32"/>
          <w:szCs w:val="32"/>
          <w:highlight w:val="none"/>
        </w:rPr>
        <w:t>肺结核防治健康促进印刷宣传材料、宣传品支出，预期指</w:t>
      </w:r>
      <w:r>
        <w:rPr>
          <w:rFonts w:hint="eastAsia" w:ascii="仿宋_GB2312" w:eastAsia="仿宋_GB2312"/>
          <w:sz w:val="32"/>
          <w:szCs w:val="32"/>
        </w:rPr>
        <w:t>标是</w:t>
      </w:r>
      <w:r>
        <w:rPr>
          <w:rFonts w:hint="eastAsia" w:ascii="仿宋_GB2312" w:eastAsia="仿宋_GB2312"/>
          <w:sz w:val="32"/>
          <w:szCs w:val="32"/>
          <w:lang w:val="en-US" w:eastAsia="zh-CN"/>
        </w:rPr>
        <w:t>40万元</w:t>
      </w:r>
      <w:r>
        <w:rPr>
          <w:rFonts w:hint="eastAsia" w:ascii="仿宋_GB2312" w:eastAsia="仿宋_GB2312"/>
          <w:sz w:val="32"/>
          <w:szCs w:val="32"/>
        </w:rPr>
        <w:t>，实际完成值是</w:t>
      </w:r>
      <w:r>
        <w:rPr>
          <w:rFonts w:hint="eastAsia" w:ascii="仿宋_GB2312" w:eastAsia="仿宋_GB2312"/>
          <w:sz w:val="32"/>
          <w:szCs w:val="32"/>
          <w:lang w:val="en-US" w:eastAsia="zh-CN"/>
        </w:rPr>
        <w:t>32.71万元</w:t>
      </w:r>
      <w:r>
        <w:rPr>
          <w:rFonts w:hint="eastAsia" w:ascii="仿宋_GB2312" w:eastAsia="仿宋_GB2312"/>
          <w:sz w:val="32"/>
          <w:szCs w:val="32"/>
        </w:rPr>
        <w:t>，指标完成率是</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达到预期目标。</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项目产出成本指标</w:t>
      </w:r>
      <w:r>
        <w:rPr>
          <w:rFonts w:hint="eastAsia" w:ascii="仿宋_GB2312" w:eastAsia="仿宋_GB2312"/>
          <w:sz w:val="32"/>
          <w:szCs w:val="32"/>
          <w:lang w:eastAsia="zh-CN"/>
        </w:rPr>
        <w:t>为</w:t>
      </w:r>
      <w:r>
        <w:rPr>
          <w:rFonts w:hint="eastAsia" w:ascii="仿宋_GB2312" w:eastAsia="仿宋_GB2312"/>
          <w:sz w:val="32"/>
          <w:szCs w:val="32"/>
        </w:rPr>
        <w:t>肺结核防治健康促进活动场地支出，预期指标是</w:t>
      </w:r>
      <w:r>
        <w:rPr>
          <w:rFonts w:hint="eastAsia" w:ascii="仿宋_GB2312" w:eastAsia="仿宋_GB2312"/>
          <w:sz w:val="32"/>
          <w:szCs w:val="32"/>
          <w:lang w:val="en-US" w:eastAsia="zh-CN"/>
        </w:rPr>
        <w:t>16万元</w:t>
      </w:r>
      <w:r>
        <w:rPr>
          <w:rFonts w:hint="eastAsia" w:ascii="仿宋_GB2312" w:eastAsia="仿宋_GB2312"/>
          <w:sz w:val="32"/>
          <w:szCs w:val="32"/>
        </w:rPr>
        <w:t>，实际完成值是</w:t>
      </w:r>
      <w:r>
        <w:rPr>
          <w:rFonts w:hint="eastAsia" w:ascii="仿宋_GB2312" w:eastAsia="仿宋_GB2312"/>
          <w:sz w:val="32"/>
          <w:szCs w:val="32"/>
          <w:lang w:val="en-US" w:eastAsia="zh-CN"/>
        </w:rPr>
        <w:t>17.2万元</w:t>
      </w:r>
      <w:r>
        <w:rPr>
          <w:rFonts w:hint="eastAsia" w:ascii="仿宋_GB2312" w:eastAsia="仿宋_GB2312"/>
          <w:sz w:val="32"/>
          <w:szCs w:val="32"/>
        </w:rPr>
        <w:t>，指标项目完成率是</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达到预期目标。</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项目产出成本指标</w:t>
      </w:r>
      <w:r>
        <w:rPr>
          <w:rFonts w:hint="eastAsia" w:ascii="仿宋_GB2312" w:eastAsia="仿宋_GB2312"/>
          <w:sz w:val="32"/>
          <w:szCs w:val="32"/>
          <w:lang w:eastAsia="zh-CN"/>
        </w:rPr>
        <w:t>为</w:t>
      </w:r>
      <w:r>
        <w:rPr>
          <w:rFonts w:hint="eastAsia" w:ascii="仿宋_GB2312" w:eastAsia="仿宋_GB2312"/>
          <w:sz w:val="32"/>
          <w:szCs w:val="32"/>
        </w:rPr>
        <w:t>举办全地区结核病防治和诊断培训支出，预期指标是</w:t>
      </w:r>
      <w:r>
        <w:rPr>
          <w:rFonts w:hint="eastAsia" w:ascii="仿宋_GB2312" w:eastAsia="仿宋_GB2312"/>
          <w:sz w:val="32"/>
          <w:szCs w:val="32"/>
          <w:lang w:val="en-US" w:eastAsia="zh-CN"/>
        </w:rPr>
        <w:t>18万元</w:t>
      </w:r>
      <w:r>
        <w:rPr>
          <w:rFonts w:hint="eastAsia" w:ascii="仿宋_GB2312" w:eastAsia="仿宋_GB2312"/>
          <w:sz w:val="32"/>
          <w:szCs w:val="32"/>
        </w:rPr>
        <w:t>，实际完成值是</w:t>
      </w:r>
      <w:r>
        <w:rPr>
          <w:rFonts w:hint="eastAsia" w:ascii="仿宋_GB2312" w:eastAsia="仿宋_GB2312"/>
          <w:sz w:val="32"/>
          <w:szCs w:val="32"/>
          <w:lang w:val="en-US" w:eastAsia="zh-CN"/>
        </w:rPr>
        <w:t>15.74万元</w:t>
      </w:r>
      <w:r>
        <w:rPr>
          <w:rFonts w:hint="eastAsia" w:ascii="仿宋_GB2312" w:eastAsia="仿宋_GB2312"/>
          <w:sz w:val="32"/>
          <w:szCs w:val="32"/>
        </w:rPr>
        <w:t>，指标完成率是</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达到预期目标。</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项目产出成本指标</w:t>
      </w:r>
      <w:r>
        <w:rPr>
          <w:rFonts w:hint="eastAsia" w:ascii="仿宋_GB2312" w:eastAsia="仿宋_GB2312"/>
          <w:sz w:val="32"/>
          <w:szCs w:val="32"/>
          <w:lang w:eastAsia="zh-CN"/>
        </w:rPr>
        <w:t>为</w:t>
      </w:r>
      <w:r>
        <w:rPr>
          <w:rFonts w:hint="eastAsia" w:ascii="仿宋_GB2312" w:eastAsia="仿宋_GB2312"/>
          <w:sz w:val="32"/>
          <w:szCs w:val="32"/>
        </w:rPr>
        <w:t>肺结核患者管理信息系统建设设备支出，预期指标是</w:t>
      </w:r>
      <w:r>
        <w:rPr>
          <w:rFonts w:hint="eastAsia" w:ascii="仿宋_GB2312" w:eastAsia="仿宋_GB2312"/>
          <w:sz w:val="32"/>
          <w:szCs w:val="32"/>
          <w:lang w:val="en-US" w:eastAsia="zh-CN"/>
        </w:rPr>
        <w:t>113万元</w:t>
      </w:r>
      <w:r>
        <w:rPr>
          <w:rFonts w:hint="eastAsia" w:ascii="仿宋_GB2312" w:eastAsia="仿宋_GB2312"/>
          <w:sz w:val="32"/>
          <w:szCs w:val="32"/>
        </w:rPr>
        <w:t>，实际完成值是</w:t>
      </w:r>
      <w:r>
        <w:rPr>
          <w:rFonts w:hint="eastAsia" w:ascii="仿宋_GB2312" w:eastAsia="仿宋_GB2312"/>
          <w:sz w:val="32"/>
          <w:szCs w:val="32"/>
          <w:lang w:val="en-US" w:eastAsia="zh-CN"/>
        </w:rPr>
        <w:t>113万元</w:t>
      </w:r>
      <w:r>
        <w:rPr>
          <w:rFonts w:hint="eastAsia" w:ascii="仿宋_GB2312" w:eastAsia="仿宋_GB2312"/>
          <w:sz w:val="32"/>
          <w:szCs w:val="32"/>
        </w:rPr>
        <w:t>，指标完成率是</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达到预期目标。</w:t>
      </w:r>
    </w:p>
    <w:p>
      <w:pPr>
        <w:spacing w:before="156"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rPr>
        <w:t>项目产出成本指标</w:t>
      </w:r>
      <w:r>
        <w:rPr>
          <w:rFonts w:hint="eastAsia" w:ascii="仿宋_GB2312" w:eastAsia="仿宋_GB2312"/>
          <w:sz w:val="32"/>
          <w:szCs w:val="32"/>
          <w:lang w:eastAsia="zh-CN"/>
        </w:rPr>
        <w:t>为</w:t>
      </w:r>
      <w:r>
        <w:rPr>
          <w:rFonts w:hint="eastAsia" w:ascii="仿宋_GB2312" w:eastAsia="仿宋_GB2312"/>
          <w:sz w:val="32"/>
          <w:szCs w:val="32"/>
        </w:rPr>
        <w:t>结核病防治工作督导、现场指导支出，预期指标是</w:t>
      </w:r>
      <w:r>
        <w:rPr>
          <w:rFonts w:hint="eastAsia" w:ascii="仿宋_GB2312" w:eastAsia="仿宋_GB2312"/>
          <w:sz w:val="32"/>
          <w:szCs w:val="32"/>
          <w:lang w:val="en-US" w:eastAsia="zh-CN"/>
        </w:rPr>
        <w:t>24.04万元</w:t>
      </w:r>
      <w:r>
        <w:rPr>
          <w:rFonts w:hint="eastAsia" w:ascii="仿宋_GB2312" w:eastAsia="仿宋_GB2312"/>
          <w:sz w:val="32"/>
          <w:szCs w:val="32"/>
        </w:rPr>
        <w:t>，实际完成值是</w:t>
      </w:r>
      <w:r>
        <w:rPr>
          <w:rFonts w:hint="eastAsia" w:ascii="仿宋_GB2312" w:eastAsia="仿宋_GB2312"/>
          <w:sz w:val="32"/>
          <w:szCs w:val="32"/>
          <w:lang w:val="en-US" w:eastAsia="zh-CN"/>
        </w:rPr>
        <w:t>26.38万元</w:t>
      </w:r>
      <w:r>
        <w:rPr>
          <w:rFonts w:hint="eastAsia" w:ascii="仿宋_GB2312" w:eastAsia="仿宋_GB2312"/>
          <w:sz w:val="32"/>
          <w:szCs w:val="32"/>
        </w:rPr>
        <w:t>，指标完成率是</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达到预期目标。</w:t>
      </w:r>
    </w:p>
    <w:p>
      <w:pPr>
        <w:pStyle w:val="17"/>
        <w:numPr>
          <w:ilvl w:val="0"/>
          <w:numId w:val="6"/>
        </w:numPr>
        <w:spacing w:before="156" w:beforeLines="50" w:line="600" w:lineRule="exact"/>
        <w:ind w:left="0" w:firstLine="643"/>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项目效益情况</w:t>
      </w:r>
    </w:p>
    <w:p>
      <w:pPr>
        <w:spacing w:before="156" w:beforeLines="50" w:line="600" w:lineRule="exact"/>
        <w:ind w:firstLine="660"/>
        <w:rPr>
          <w:rFonts w:hint="eastAsia" w:ascii="仿宋_GB2312" w:eastAsia="仿宋_GB2312"/>
          <w:sz w:val="32"/>
          <w:szCs w:val="32"/>
          <w:lang w:eastAsia="zh-CN"/>
        </w:rPr>
      </w:pPr>
      <w:r>
        <w:rPr>
          <w:rFonts w:ascii="仿宋_GB2312" w:hAnsi="仿宋" w:eastAsia="仿宋_GB2312" w:cs="宋体"/>
          <w:bCs/>
          <w:sz w:val="32"/>
          <w:szCs w:val="32"/>
          <w:lang w:bidi="ar"/>
        </w:rPr>
        <w:t xml:space="preserve"> </w:t>
      </w:r>
      <w:r>
        <w:rPr>
          <w:rFonts w:hint="eastAsia" w:ascii="仿宋_GB2312" w:eastAsia="仿宋_GB2312"/>
          <w:sz w:val="32"/>
          <w:szCs w:val="32"/>
        </w:rPr>
        <w:t>项目实施产生的经济效益指标</w:t>
      </w:r>
      <w:r>
        <w:rPr>
          <w:rFonts w:hint="eastAsia" w:ascii="仿宋_GB2312" w:eastAsia="仿宋_GB2312"/>
          <w:sz w:val="32"/>
          <w:szCs w:val="32"/>
          <w:lang w:eastAsia="zh-CN"/>
        </w:rPr>
        <w:t>无。</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项目实施产生的社会效益指标为通过培训和现场指导提高各基层结核病防治人员的工作能力，预期指标是</w:t>
      </w:r>
      <w:r>
        <w:rPr>
          <w:rFonts w:hint="eastAsia" w:ascii="仿宋_GB2312" w:eastAsia="仿宋_GB2312"/>
          <w:sz w:val="32"/>
          <w:szCs w:val="32"/>
          <w:lang w:eastAsia="zh-CN"/>
        </w:rPr>
        <w:t>有效提高</w:t>
      </w:r>
      <w:r>
        <w:rPr>
          <w:rFonts w:hint="eastAsia" w:ascii="仿宋_GB2312" w:eastAsia="仿宋_GB2312"/>
          <w:sz w:val="32"/>
          <w:szCs w:val="32"/>
        </w:rPr>
        <w:t>，实际完成值是</w:t>
      </w:r>
      <w:r>
        <w:rPr>
          <w:rFonts w:hint="eastAsia" w:ascii="仿宋_GB2312" w:eastAsia="仿宋_GB2312"/>
          <w:sz w:val="32"/>
          <w:szCs w:val="32"/>
          <w:lang w:val="en-US" w:eastAsia="zh-CN"/>
        </w:rPr>
        <w:t>100%</w:t>
      </w:r>
      <w:r>
        <w:rPr>
          <w:rFonts w:hint="eastAsia" w:ascii="仿宋_GB2312" w:eastAsia="仿宋_GB2312"/>
          <w:sz w:val="32"/>
          <w:szCs w:val="32"/>
        </w:rPr>
        <w:t>，指标完成率是</w:t>
      </w:r>
      <w:r>
        <w:rPr>
          <w:rFonts w:hint="eastAsia" w:ascii="仿宋_GB2312" w:eastAsia="仿宋_GB2312"/>
          <w:sz w:val="32"/>
          <w:szCs w:val="32"/>
          <w:lang w:eastAsia="zh-CN"/>
        </w:rPr>
        <w:t>1</w:t>
      </w:r>
      <w:r>
        <w:rPr>
          <w:rFonts w:hint="eastAsia" w:ascii="仿宋_GB2312" w:eastAsia="仿宋_GB2312"/>
          <w:sz w:val="32"/>
          <w:szCs w:val="32"/>
          <w:lang w:val="en-US" w:eastAsia="zh-CN"/>
        </w:rPr>
        <w:t>00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达到预期目标。</w:t>
      </w:r>
    </w:p>
    <w:p>
      <w:pPr>
        <w:spacing w:before="156"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rPr>
        <w:t>项目实施产生的生态效益指标</w:t>
      </w:r>
      <w:r>
        <w:rPr>
          <w:rFonts w:hint="eastAsia" w:ascii="仿宋_GB2312" w:eastAsia="仿宋_GB2312"/>
          <w:sz w:val="32"/>
          <w:szCs w:val="32"/>
          <w:lang w:eastAsia="zh-CN"/>
        </w:rPr>
        <w:t>为无。</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项目的可持续效益效益指标为持续有效提高基层肺结核防治人员的业务水平，预期指标是</w:t>
      </w:r>
      <w:r>
        <w:rPr>
          <w:rFonts w:hint="eastAsia" w:ascii="仿宋_GB2312" w:eastAsia="仿宋_GB2312"/>
          <w:sz w:val="32"/>
          <w:szCs w:val="32"/>
          <w:lang w:eastAsia="zh-CN"/>
        </w:rPr>
        <w:t>长期</w:t>
      </w:r>
      <w:r>
        <w:rPr>
          <w:rFonts w:hint="eastAsia" w:ascii="仿宋_GB2312" w:eastAsia="仿宋_GB2312"/>
          <w:sz w:val="32"/>
          <w:szCs w:val="32"/>
        </w:rPr>
        <w:t>，实际完成值是</w:t>
      </w:r>
      <w:r>
        <w:rPr>
          <w:rFonts w:hint="eastAsia" w:ascii="仿宋_GB2312" w:eastAsia="仿宋_GB2312"/>
          <w:sz w:val="32"/>
          <w:szCs w:val="32"/>
          <w:lang w:val="en-US" w:eastAsia="zh-CN"/>
        </w:rPr>
        <w:t>100%</w:t>
      </w:r>
      <w:r>
        <w:rPr>
          <w:rFonts w:hint="eastAsia" w:ascii="仿宋_GB2312" w:eastAsia="仿宋_GB2312"/>
          <w:sz w:val="32"/>
          <w:szCs w:val="32"/>
        </w:rPr>
        <w:t>，指标完成率是</w:t>
      </w:r>
      <w:r>
        <w:rPr>
          <w:rFonts w:hint="eastAsia" w:ascii="仿宋_GB2312" w:eastAsia="仿宋_GB2312"/>
          <w:sz w:val="32"/>
          <w:szCs w:val="32"/>
          <w:lang w:eastAsia="zh-CN"/>
        </w:rPr>
        <w:t>1</w:t>
      </w:r>
      <w:r>
        <w:rPr>
          <w:rFonts w:hint="eastAsia" w:ascii="仿宋_GB2312" w:eastAsia="仿宋_GB2312"/>
          <w:sz w:val="32"/>
          <w:szCs w:val="32"/>
          <w:lang w:val="en-US" w:eastAsia="zh-CN"/>
        </w:rPr>
        <w:t>00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达到预期目标。</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rPr>
        <w:t>经问卷调查，项目收益群众满意度为：参加培训人员培训满意度，预期指标是</w:t>
      </w:r>
      <w:r>
        <w:rPr>
          <w:rFonts w:hint="eastAsia" w:ascii="仿宋_GB2312" w:eastAsia="仿宋_GB2312"/>
          <w:sz w:val="32"/>
          <w:szCs w:val="32"/>
          <w:lang w:val="en-US" w:eastAsia="zh-CN"/>
        </w:rPr>
        <w:t>85%</w:t>
      </w:r>
      <w:r>
        <w:rPr>
          <w:rFonts w:hint="eastAsia" w:ascii="仿宋_GB2312" w:eastAsia="仿宋_GB2312"/>
          <w:sz w:val="32"/>
          <w:szCs w:val="32"/>
        </w:rPr>
        <w:t>，实际完成值是</w:t>
      </w:r>
      <w:r>
        <w:rPr>
          <w:rFonts w:hint="eastAsia" w:ascii="仿宋_GB2312" w:eastAsia="仿宋_GB2312"/>
          <w:sz w:val="32"/>
          <w:szCs w:val="32"/>
          <w:lang w:eastAsia="zh-CN"/>
        </w:rPr>
        <w:t>9</w:t>
      </w:r>
      <w:r>
        <w:rPr>
          <w:rFonts w:hint="eastAsia" w:ascii="仿宋_GB2312" w:eastAsia="仿宋_GB2312"/>
          <w:sz w:val="32"/>
          <w:szCs w:val="32"/>
          <w:lang w:val="en-US" w:eastAsia="zh-CN"/>
        </w:rPr>
        <w:t>6.5%</w:t>
      </w:r>
      <w:r>
        <w:rPr>
          <w:rFonts w:hint="eastAsia" w:ascii="仿宋_GB2312" w:eastAsia="仿宋_GB2312"/>
          <w:sz w:val="32"/>
          <w:szCs w:val="32"/>
        </w:rPr>
        <w:t>，指标完成率是</w:t>
      </w:r>
      <w:r>
        <w:rPr>
          <w:rFonts w:hint="eastAsia" w:ascii="仿宋_GB2312" w:eastAsia="仿宋_GB2312"/>
          <w:sz w:val="32"/>
          <w:szCs w:val="32"/>
          <w:lang w:eastAsia="zh-CN"/>
        </w:rPr>
        <w:t>1</w:t>
      </w:r>
      <w:r>
        <w:rPr>
          <w:rFonts w:hint="eastAsia" w:ascii="仿宋_GB2312" w:eastAsia="仿宋_GB2312"/>
          <w:sz w:val="32"/>
          <w:szCs w:val="32"/>
          <w:lang w:val="en-US" w:eastAsia="zh-CN"/>
        </w:rPr>
        <w:t>00</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达到预期目标。</w:t>
      </w:r>
    </w:p>
    <w:p>
      <w:pPr>
        <w:pStyle w:val="21"/>
        <w:numPr>
          <w:ilvl w:val="0"/>
          <w:numId w:val="2"/>
        </w:numPr>
        <w:ind w:firstLineChars="0"/>
        <w:rPr>
          <w:lang w:bidi="ar"/>
        </w:rPr>
      </w:pPr>
      <w:r>
        <w:rPr>
          <w:rFonts w:hint="eastAsia" w:ascii="黑体" w:hAnsi="黑体"/>
        </w:rPr>
        <w:t>主要经验及做法、存在的问题及原因分析</w:t>
      </w:r>
    </w:p>
    <w:p>
      <w:pPr>
        <w:pStyle w:val="23"/>
        <w:numPr>
          <w:ilvl w:val="0"/>
          <w:numId w:val="7"/>
        </w:numPr>
        <w:ind w:left="0" w:firstLine="643" w:firstLineChars="200"/>
        <w:rPr>
          <w:lang w:bidi="ar"/>
        </w:rPr>
      </w:pPr>
      <w:r>
        <w:rPr>
          <w:rFonts w:hint="eastAsia"/>
          <w:lang w:bidi="ar"/>
        </w:rPr>
        <w:t>主要经验及做法</w:t>
      </w:r>
    </w:p>
    <w:p>
      <w:pPr>
        <w:spacing w:before="156"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lang w:val="en-US" w:eastAsia="zh-CN"/>
        </w:rPr>
        <w:t>利用2018年公共卫生服务补助资金，地区结核病防治技术指导组及诊疗质量指导组，对各县市开展了结核病防治工作的现场指导和帮扶工作，对定点医院的结核病阅片、诊断进行现场指导帮教，协助进行复核诊断、疗程结束的患者进行疗效评估，做到“发现一例、治疗一例、治愈一例”。实时“国家结核病信息管理系统”，指导各县市网络人员准确及时录入各项数据。指导各县市疾控中心、结核病定点医院完成了对县、乡、村三级结核病防治人员全员培训，培训覆盖率达到95%以上。编写并印刷了《喀什地区传染性肺结核集中隔离治疗》等8本工作手册。开展全地区结核病疫情监测分析，印制下发给各县市规范结核病防治工作。</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lang w:val="en-US" w:eastAsia="zh-CN"/>
        </w:rPr>
        <w:t>利用“3.24世界结核病防治日”开展大规模的结核病宣传，并贯穿全年。印刷、印制了大量的结核病宣传资料和宣传材料，给各县市、各地直医疗机构、各结核病防治领导小组的成员单位，发放到县、乡、村级，的开展结核病的宣传，以达到全地区各阶层公众了解肺结核。</w:t>
      </w:r>
    </w:p>
    <w:p>
      <w:pPr>
        <w:pStyle w:val="23"/>
        <w:numPr>
          <w:ilvl w:val="0"/>
          <w:numId w:val="7"/>
        </w:numPr>
        <w:ind w:left="0" w:firstLine="643" w:firstLineChars="200"/>
        <w:rPr>
          <w:lang w:bidi="ar"/>
        </w:rPr>
      </w:pPr>
      <w:r>
        <w:rPr>
          <w:rFonts w:hint="eastAsia"/>
          <w:lang w:bidi="ar"/>
        </w:rPr>
        <w:t>存在的问题及原因分析</w:t>
      </w:r>
    </w:p>
    <w:p>
      <w:pPr>
        <w:pStyle w:val="23"/>
        <w:numPr>
          <w:ilvl w:val="0"/>
          <w:numId w:val="0"/>
        </w:numPr>
        <w:rPr>
          <w:rFonts w:hint="eastAsia" w:eastAsia="仿宋_GB2312"/>
          <w:b w:val="0"/>
          <w:lang w:eastAsia="zh-CN" w:bidi="ar"/>
        </w:rPr>
      </w:pPr>
      <w:r>
        <w:rPr>
          <w:rFonts w:hint="eastAsia"/>
          <w:b w:val="0"/>
          <w:lang w:bidi="ar"/>
        </w:rPr>
        <w:t xml:space="preserve"> </w:t>
      </w:r>
      <w:r>
        <w:rPr>
          <w:b w:val="0"/>
          <w:lang w:bidi="ar"/>
        </w:rPr>
        <w:t xml:space="preserve">   </w:t>
      </w:r>
      <w:r>
        <w:rPr>
          <w:rFonts w:hint="eastAsia" w:ascii="Times New Roman" w:hAnsi="Times New Roman" w:eastAsia="仿宋_GB2312" w:cs="Times New Roman"/>
          <w:b w:val="0"/>
          <w:bCs w:val="0"/>
          <w:color w:val="auto"/>
          <w:kern w:val="2"/>
          <w:sz w:val="32"/>
          <w:szCs w:val="28"/>
          <w:highlight w:val="none"/>
          <w:shd w:val="clear" w:color="auto" w:fill="auto"/>
          <w:lang w:eastAsia="zh-CN" w:bidi="ar"/>
        </w:rPr>
        <w:t>对各项指标和指标值要进一步优化、完善，主要在细化、量化上改进。</w:t>
      </w:r>
    </w:p>
    <w:p>
      <w:pPr>
        <w:pStyle w:val="21"/>
        <w:numPr>
          <w:ilvl w:val="0"/>
          <w:numId w:val="2"/>
        </w:numPr>
        <w:ind w:firstLineChars="0"/>
        <w:rPr>
          <w:rFonts w:ascii="黑体" w:hAnsi="黑体"/>
        </w:rPr>
      </w:pPr>
      <w:r>
        <w:rPr>
          <w:rFonts w:hint="eastAsia" w:ascii="黑体" w:hAnsi="黑体"/>
        </w:rPr>
        <w:t>有关建议</w:t>
      </w:r>
    </w:p>
    <w:p>
      <w:pPr>
        <w:pStyle w:val="21"/>
        <w:ind w:firstLine="0" w:firstLineChars="0"/>
        <w:rPr>
          <w:rFonts w:hint="eastAsia" w:ascii="黑体" w:hAnsi="黑体" w:eastAsia="仿宋_GB2312"/>
          <w:b w:val="0"/>
          <w:lang w:eastAsia="zh-CN"/>
        </w:rPr>
      </w:pPr>
      <w:r>
        <w:rPr>
          <w:rFonts w:ascii="黑体" w:hAnsi="黑体"/>
          <w:b w:val="0"/>
        </w:rPr>
        <w:t xml:space="preserve"> </w:t>
      </w:r>
      <w:r>
        <w:rPr>
          <w:rFonts w:ascii="仿宋_GB2312" w:hAnsi="仿宋" w:eastAsia="仿宋_GB2312" w:cs="宋体"/>
          <w:b w:val="0"/>
          <w:kern w:val="2"/>
          <w:lang w:bidi="ar"/>
        </w:rPr>
        <w:t xml:space="preserve">   </w:t>
      </w:r>
      <w:r>
        <w:rPr>
          <w:rFonts w:hint="eastAsia" w:ascii="Times New Roman" w:hAnsi="Times New Roman" w:eastAsia="仿宋_GB2312" w:cs="Times New Roman"/>
          <w:b w:val="0"/>
          <w:bCs w:val="0"/>
          <w:color w:val="auto"/>
          <w:kern w:val="2"/>
          <w:sz w:val="32"/>
          <w:szCs w:val="28"/>
          <w:highlight w:val="none"/>
          <w:shd w:val="clear" w:color="auto" w:fill="auto"/>
          <w:lang w:val="en-US" w:eastAsia="zh-CN" w:bidi="ar"/>
        </w:rPr>
        <w:t>结核病防治工作现场指导、帮扶，通过培训和现场指导提高各基层结核病防治人员的工作能力。为提前发现、治疗肺结核患者和耐药肺结核可疑者，有效提高肺结核患者的发现、治疗，达到肺结核患者“早发现、早治疗”的目的，最大程度减少对周围人群的传播。</w:t>
      </w:r>
    </w:p>
    <w:p>
      <w:pPr>
        <w:pStyle w:val="21"/>
        <w:numPr>
          <w:ilvl w:val="0"/>
          <w:numId w:val="2"/>
        </w:numPr>
        <w:ind w:firstLineChars="0"/>
        <w:rPr>
          <w:rFonts w:ascii="黑体" w:hAnsi="黑体"/>
        </w:rPr>
      </w:pPr>
      <w:r>
        <w:rPr>
          <w:rFonts w:hint="eastAsia" w:ascii="黑体" w:hAnsi="黑体"/>
        </w:rPr>
        <w:t>其他需要说明的问题</w:t>
      </w:r>
    </w:p>
    <w:p>
      <w:pPr>
        <w:pStyle w:val="21"/>
        <w:ind w:firstLine="640" w:firstLineChars="200"/>
        <w:rPr>
          <w:rFonts w:hint="eastAsia" w:ascii="黑体" w:hAnsi="黑体"/>
          <w:b w:val="0"/>
          <w:lang w:eastAsia="zh-CN"/>
        </w:rPr>
      </w:pPr>
      <w:r>
        <w:rPr>
          <w:rFonts w:hint="eastAsia" w:ascii="黑体" w:hAnsi="黑体"/>
          <w:b w:val="0"/>
          <w:lang w:eastAsia="zh-CN"/>
        </w:rPr>
        <w:t>无</w:t>
      </w:r>
    </w:p>
    <w:p>
      <w:pPr>
        <w:spacing w:before="156" w:beforeLines="50" w:line="600" w:lineRule="exact"/>
        <w:ind w:firstLine="640" w:firstLineChars="200"/>
        <w:rPr>
          <w:rFonts w:ascii="仿宋_GB2312" w:hAnsi="仿宋" w:eastAsia="仿宋_GB2312" w:cs="宋体"/>
          <w:sz w:val="32"/>
          <w:szCs w:val="32"/>
          <w:lang w:bidi="ar"/>
        </w:rPr>
      </w:pP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附件1：喀什地区结核病防治所防痨科下达2018年公共卫生服务补助资金项目支出绩效目标申报表</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2</w:t>
      </w:r>
      <w:r>
        <w:rPr>
          <w:rFonts w:hint="eastAsia" w:ascii="仿宋_GB2312" w:hAnsi="仿宋" w:eastAsia="仿宋_GB2312" w:cs="宋体"/>
          <w:sz w:val="32"/>
          <w:szCs w:val="32"/>
          <w:lang w:bidi="ar"/>
        </w:rPr>
        <w:t>：喀什地区结核病防治所防痨科下达2018年公共卫生服务补助资金项目支出绩效目标表</w:t>
      </w:r>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附件3：喀什地区结核病防治所防痨科下达2018年公共卫生服务补助资金项目支出绩效自评表</w:t>
      </w:r>
    </w:p>
    <w:p>
      <w:pPr>
        <w:spacing w:before="156"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4</w:t>
      </w:r>
      <w:r>
        <w:rPr>
          <w:rFonts w:hint="eastAsia" w:ascii="仿宋_GB2312" w:hAnsi="仿宋" w:eastAsia="仿宋_GB2312" w:cs="宋体"/>
          <w:sz w:val="32"/>
          <w:szCs w:val="32"/>
          <w:lang w:bidi="ar"/>
        </w:rPr>
        <w:t>：喀什地区结核病防治所防痨科下达2018年公共卫生服务补助资金项目支出绩效评价指标体系</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5</w:t>
      </w:r>
      <w:r>
        <w:rPr>
          <w:rFonts w:hint="eastAsia" w:ascii="仿宋_GB2312" w:hAnsi="仿宋" w:eastAsia="仿宋_GB2312" w:cs="宋体"/>
          <w:sz w:val="32"/>
          <w:szCs w:val="32"/>
          <w:lang w:bidi="ar"/>
        </w:rPr>
        <w:t>：绩效评价依据</w:t>
      </w:r>
    </w:p>
    <w:p>
      <w:pPr>
        <w:spacing w:before="156"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6</w:t>
      </w:r>
      <w:r>
        <w:rPr>
          <w:rFonts w:hint="eastAsia" w:ascii="仿宋_GB2312" w:hAnsi="仿宋" w:eastAsia="仿宋_GB2312" w:cs="宋体"/>
          <w:sz w:val="32"/>
          <w:szCs w:val="32"/>
          <w:lang w:bidi="ar"/>
        </w:rPr>
        <w:t>：喀什地区结核病防治所防痨科下达2018年公共卫生服务补助资金项目支出绩效评价评分表</w:t>
      </w:r>
    </w:p>
    <w:p>
      <w:pPr>
        <w:spacing w:before="156" w:beforeLines="50" w:line="600" w:lineRule="exact"/>
        <w:ind w:firstLine="640" w:firstLineChars="200"/>
        <w:rPr>
          <w:rFonts w:ascii="仿宋_GB2312" w:hAnsi="仿宋" w:eastAsia="仿宋_GB2312" w:cs="宋体"/>
          <w:sz w:val="32"/>
          <w:szCs w:val="32"/>
          <w:lang w:bidi="ar"/>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1D36004"/>
    <w:rsid w:val="113F7773"/>
    <w:rsid w:val="20FB448B"/>
    <w:rsid w:val="217F35A7"/>
    <w:rsid w:val="24E73B1F"/>
    <w:rsid w:val="25EA7A50"/>
    <w:rsid w:val="25EE19DD"/>
    <w:rsid w:val="26F03C06"/>
    <w:rsid w:val="2A547683"/>
    <w:rsid w:val="2AFF326A"/>
    <w:rsid w:val="314F3138"/>
    <w:rsid w:val="37AF70C1"/>
    <w:rsid w:val="38C574C1"/>
    <w:rsid w:val="3E142187"/>
    <w:rsid w:val="40733FD6"/>
    <w:rsid w:val="45B24B6D"/>
    <w:rsid w:val="460A4D8E"/>
    <w:rsid w:val="4DAF7E22"/>
    <w:rsid w:val="4F140148"/>
    <w:rsid w:val="51E46A9C"/>
    <w:rsid w:val="57964064"/>
    <w:rsid w:val="5F1010B6"/>
    <w:rsid w:val="667765BF"/>
    <w:rsid w:val="73AC3A5F"/>
    <w:rsid w:val="749E1CCC"/>
    <w:rsid w:val="7775238E"/>
    <w:rsid w:val="7A8638D9"/>
    <w:rsid w:val="7E4A4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3">
    <w:name w:val="heading 1"/>
    <w:basedOn w:val="1"/>
    <w:next w:val="1"/>
    <w:link w:val="16"/>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4">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link w:val="32"/>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0"/>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字符"/>
    <w:basedOn w:val="14"/>
    <w:link w:val="3"/>
    <w:qFormat/>
    <w:uiPriority w:val="9"/>
    <w:rPr>
      <w:rFonts w:ascii="Times New Roman" w:hAnsi="Times New Roman" w:eastAsia="黑体" w:cs="Arial"/>
      <w:b/>
      <w:bCs/>
      <w:kern w:val="44"/>
      <w:sz w:val="28"/>
      <w:szCs w:val="44"/>
    </w:rPr>
  </w:style>
  <w:style w:type="paragraph" w:styleId="17">
    <w:name w:val="List Paragraph"/>
    <w:basedOn w:val="1"/>
    <w:qFormat/>
    <w:uiPriority w:val="34"/>
    <w:pPr>
      <w:ind w:firstLine="420" w:firstLineChars="200"/>
    </w:pPr>
  </w:style>
  <w:style w:type="character" w:customStyle="1" w:styleId="18">
    <w:name w:val="页眉 字符"/>
    <w:basedOn w:val="14"/>
    <w:link w:val="8"/>
    <w:qFormat/>
    <w:uiPriority w:val="99"/>
    <w:rPr>
      <w:sz w:val="18"/>
      <w:szCs w:val="18"/>
    </w:rPr>
  </w:style>
  <w:style w:type="character" w:customStyle="1" w:styleId="19">
    <w:name w:val="页脚 字符"/>
    <w:basedOn w:val="14"/>
    <w:link w:val="7"/>
    <w:qFormat/>
    <w:uiPriority w:val="99"/>
    <w:rPr>
      <w:sz w:val="18"/>
      <w:szCs w:val="18"/>
    </w:rPr>
  </w:style>
  <w:style w:type="character" w:customStyle="1" w:styleId="20">
    <w:name w:val="批注框文本 字符"/>
    <w:basedOn w:val="14"/>
    <w:link w:val="6"/>
    <w:semiHidden/>
    <w:qFormat/>
    <w:uiPriority w:val="99"/>
    <w:rPr>
      <w:sz w:val="18"/>
      <w:szCs w:val="18"/>
    </w:rPr>
  </w:style>
  <w:style w:type="paragraph" w:customStyle="1" w:styleId="21">
    <w:name w:val="标题1"/>
    <w:basedOn w:val="3"/>
    <w:qFormat/>
    <w:uiPriority w:val="0"/>
    <w:pPr>
      <w:spacing w:before="120" w:after="120" w:line="500" w:lineRule="exact"/>
      <w:ind w:firstLine="200" w:firstLineChars="200"/>
    </w:pPr>
    <w:rPr>
      <w:rFonts w:cs="Times New Roman"/>
      <w:sz w:val="32"/>
      <w:szCs w:val="32"/>
    </w:rPr>
  </w:style>
  <w:style w:type="character" w:customStyle="1" w:styleId="22">
    <w:name w:val="标题 2 字符"/>
    <w:basedOn w:val="14"/>
    <w:link w:val="4"/>
    <w:qFormat/>
    <w:uiPriority w:val="9"/>
    <w:rPr>
      <w:rFonts w:asciiTheme="majorHAnsi" w:hAnsiTheme="majorHAnsi" w:eastAsiaTheme="majorEastAsia" w:cstheme="majorBidi"/>
      <w:b/>
      <w:bCs/>
      <w:sz w:val="32"/>
      <w:szCs w:val="32"/>
    </w:rPr>
  </w:style>
  <w:style w:type="paragraph" w:customStyle="1" w:styleId="23">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24">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5">
    <w:name w:val="闻政正文 Char"/>
    <w:link w:val="26"/>
    <w:qFormat/>
    <w:uiPriority w:val="0"/>
    <w:rPr>
      <w:rFonts w:ascii="Times New Roman" w:hAnsi="Times New Roman" w:eastAsia="仿宋_GB2312" w:cs="Times New Roman"/>
      <w:sz w:val="28"/>
      <w:szCs w:val="28"/>
    </w:rPr>
  </w:style>
  <w:style w:type="paragraph" w:customStyle="1" w:styleId="26">
    <w:name w:val="闻政正文"/>
    <w:basedOn w:val="1"/>
    <w:link w:val="25"/>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7">
    <w:name w:val="闻政表 Char"/>
    <w:link w:val="28"/>
    <w:qFormat/>
    <w:uiPriority w:val="0"/>
    <w:rPr>
      <w:rFonts w:ascii="Times New Roman" w:hAnsi="Times New Roman" w:eastAsia="仿宋_GB2312" w:cs="Times New Roman"/>
      <w:b/>
      <w:sz w:val="24"/>
      <w:szCs w:val="28"/>
    </w:rPr>
  </w:style>
  <w:style w:type="paragraph" w:customStyle="1" w:styleId="28">
    <w:name w:val="闻政表"/>
    <w:basedOn w:val="1"/>
    <w:link w:val="27"/>
    <w:qFormat/>
    <w:uiPriority w:val="0"/>
    <w:pPr>
      <w:spacing w:before="60" w:after="60"/>
      <w:jc w:val="center"/>
    </w:pPr>
    <w:rPr>
      <w:rFonts w:ascii="Times New Roman" w:hAnsi="Times New Roman" w:eastAsia="仿宋_GB2312" w:cs="Times New Roman"/>
      <w:b/>
      <w:sz w:val="24"/>
      <w:szCs w:val="28"/>
    </w:rPr>
  </w:style>
  <w:style w:type="paragraph" w:customStyle="1" w:styleId="29">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0">
    <w:name w:val="闻政标题3 Char"/>
    <w:link w:val="31"/>
    <w:qFormat/>
    <w:uiPriority w:val="0"/>
    <w:rPr>
      <w:rFonts w:ascii="黑体" w:hAnsi="黑体" w:eastAsia="黑体" w:cs="Times New Roman"/>
      <w:bCs/>
      <w:sz w:val="32"/>
      <w:szCs w:val="32"/>
    </w:rPr>
  </w:style>
  <w:style w:type="paragraph" w:customStyle="1" w:styleId="31">
    <w:name w:val="闻政标题3"/>
    <w:basedOn w:val="2"/>
    <w:link w:val="30"/>
    <w:qFormat/>
    <w:uiPriority w:val="99"/>
    <w:pPr>
      <w:spacing w:before="120" w:after="60" w:line="500" w:lineRule="exact"/>
      <w:jc w:val="left"/>
      <w:outlineLvl w:val="0"/>
    </w:pPr>
    <w:rPr>
      <w:rFonts w:ascii="黑体" w:hAnsi="黑体" w:eastAsia="黑体" w:cs="Times New Roman"/>
      <w:b w:val="0"/>
    </w:rPr>
  </w:style>
  <w:style w:type="character" w:customStyle="1" w:styleId="32">
    <w:name w:val="标题 3 字符"/>
    <w:basedOn w:val="14"/>
    <w:link w:val="2"/>
    <w:semiHidden/>
    <w:qFormat/>
    <w:uiPriority w:val="9"/>
    <w:rPr>
      <w:b/>
      <w:bCs/>
      <w:sz w:val="32"/>
      <w:szCs w:val="32"/>
    </w:rPr>
  </w:style>
  <w:style w:type="paragraph" w:customStyle="1" w:styleId="33">
    <w:name w:val="Body text|1"/>
    <w:basedOn w:val="1"/>
    <w:link w:val="34"/>
    <w:qFormat/>
    <w:uiPriority w:val="0"/>
    <w:pPr>
      <w:spacing w:after="40" w:line="334" w:lineRule="auto"/>
    </w:pPr>
    <w:rPr>
      <w:rFonts w:ascii="MingLiU" w:hAnsi="MingLiU" w:eastAsia="MingLiU" w:cs="MingLiU"/>
      <w:sz w:val="20"/>
      <w:szCs w:val="20"/>
      <w:lang w:val="zh-TW" w:eastAsia="zh-TW" w:bidi="zh-TW"/>
    </w:rPr>
  </w:style>
  <w:style w:type="character" w:customStyle="1" w:styleId="34">
    <w:name w:val="Body text|1_"/>
    <w:basedOn w:val="14"/>
    <w:link w:val="33"/>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898</Words>
  <Characters>5120</Characters>
  <Lines>42</Lines>
  <Paragraphs>12</Paragraphs>
  <TotalTime>7</TotalTime>
  <ScaleCrop>false</ScaleCrop>
  <LinksUpToDate>false</LinksUpToDate>
  <CharactersWithSpaces>6006</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2020-09-05T10:25:02Z</dcterms:modified>
  <dc:title>新疆普天鹏华商务信息咨询有限公司</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