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58F" w:rsidRDefault="00B6158F">
      <w:pPr>
        <w:rPr>
          <w:rFonts w:ascii="黑体" w:eastAsia="黑体" w:hAnsi="黑体"/>
          <w:sz w:val="32"/>
          <w:szCs w:val="32"/>
        </w:rPr>
      </w:pPr>
      <w:r>
        <w:rPr>
          <w:rFonts w:ascii="黑体" w:eastAsia="黑体" w:hAnsi="黑体" w:hint="eastAsia"/>
          <w:sz w:val="32"/>
          <w:szCs w:val="32"/>
        </w:rPr>
        <w:t>附件：</w:t>
      </w:r>
    </w:p>
    <w:p w:rsidR="00B6158F" w:rsidRDefault="00B6158F">
      <w:pPr>
        <w:jc w:val="center"/>
        <w:rPr>
          <w:rFonts w:ascii="方正小标宋_GBK" w:eastAsia="方正小标宋_GBK" w:hAnsi="宋体"/>
          <w:sz w:val="44"/>
          <w:szCs w:val="44"/>
        </w:rPr>
      </w:pPr>
    </w:p>
    <w:p w:rsidR="00B6158F" w:rsidRDefault="00B6158F">
      <w:pPr>
        <w:jc w:val="center"/>
        <w:rPr>
          <w:rFonts w:ascii="方正小标宋_GBK" w:eastAsia="方正小标宋_GBK" w:hAnsi="宋体"/>
          <w:sz w:val="44"/>
          <w:szCs w:val="44"/>
        </w:rPr>
      </w:pPr>
    </w:p>
    <w:p w:rsidR="00B6158F" w:rsidRDefault="00B6158F">
      <w:pPr>
        <w:jc w:val="center"/>
        <w:rPr>
          <w:rFonts w:ascii="方正小标宋_GBK" w:eastAsia="方正小标宋_GBK" w:hAnsi="宋体"/>
          <w:sz w:val="44"/>
          <w:szCs w:val="44"/>
        </w:rPr>
      </w:pPr>
    </w:p>
    <w:p w:rsidR="00B6158F" w:rsidRDefault="00B6158F">
      <w:pPr>
        <w:jc w:val="center"/>
        <w:rPr>
          <w:rFonts w:ascii="方正小标宋_GBK" w:eastAsia="方正小标宋_GBK" w:hAnsi="宋体"/>
          <w:sz w:val="44"/>
          <w:szCs w:val="44"/>
        </w:rPr>
      </w:pPr>
    </w:p>
    <w:p w:rsidR="00B6158F" w:rsidRDefault="00B6158F">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新疆喀什地区结核病防治所防痨科</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B6158F" w:rsidRDefault="00B6158F">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6158F" w:rsidRDefault="00B6158F">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B6158F" w:rsidRDefault="00B6158F">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B6158F" w:rsidRDefault="00B6158F">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B6158F" w:rsidRDefault="00B6158F">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B6158F" w:rsidRDefault="00B6158F">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B6158F" w:rsidRDefault="00B6158F">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B6158F" w:rsidRDefault="00B6158F">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B6158F" w:rsidRDefault="00B6158F">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B6158F" w:rsidRDefault="00B6158F">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B6158F" w:rsidRDefault="00B6158F">
      <w:r>
        <w:rPr>
          <w:rFonts w:ascii="仿宋_GB2312" w:eastAsia="仿宋_GB2312" w:hAnsi="仿宋_GB2312" w:cs="仿宋_GB2312"/>
          <w:sz w:val="32"/>
          <w:szCs w:val="32"/>
        </w:rPr>
        <w:fldChar w:fldCharType="end"/>
      </w:r>
    </w:p>
    <w:p w:rsidR="00B6158F" w:rsidRDefault="00B6158F">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B6158F" w:rsidRDefault="00B6158F">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B6158F" w:rsidRDefault="00B6158F"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新疆维吾尔自治区喀什地区结核病防治所防痨科根据地区卫健委规定，主要负责喀什地区结核病预防工作，指导并督促地区各级结核病防治机构完成国家下达的结核病控制目标。</w:t>
      </w:r>
    </w:p>
    <w:p w:rsidR="00B6158F" w:rsidRDefault="00B6158F">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B6158F" w:rsidRPr="001F777A" w:rsidRDefault="00B6158F" w:rsidP="001F777A">
      <w:pPr>
        <w:ind w:firstLineChars="200" w:firstLine="640"/>
      </w:pPr>
      <w:r>
        <w:rPr>
          <w:rFonts w:ascii="仿宋_GB2312" w:eastAsia="仿宋_GB2312" w:hint="eastAsia"/>
          <w:sz w:val="32"/>
          <w:szCs w:val="32"/>
        </w:rPr>
        <w:t>新疆喀什地区结核病防治所防痨科</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56</w:t>
      </w:r>
      <w:r>
        <w:rPr>
          <w:rFonts w:ascii="仿宋_GB2312" w:eastAsia="仿宋_GB2312" w:hint="eastAsia"/>
          <w:sz w:val="32"/>
          <w:szCs w:val="32"/>
        </w:rPr>
        <w:t>人，其中：在职人员</w:t>
      </w:r>
      <w:r>
        <w:rPr>
          <w:rFonts w:ascii="仿宋_GB2312" w:eastAsia="仿宋_GB2312"/>
          <w:sz w:val="32"/>
          <w:szCs w:val="32"/>
        </w:rPr>
        <w:t>34</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22</w:t>
      </w:r>
      <w:r>
        <w:rPr>
          <w:rFonts w:ascii="仿宋_GB2312" w:eastAsia="仿宋_GB2312" w:hint="eastAsia"/>
          <w:sz w:val="32"/>
          <w:szCs w:val="32"/>
        </w:rPr>
        <w:t>人。</w:t>
      </w:r>
    </w:p>
    <w:p w:rsidR="00B6158F" w:rsidRDefault="00B6158F"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从部门决算单位构成看，新疆喀什地区结核病防治所防痨科部门决算包括：新疆喀什地区结核病防治所防痨科决算。</w:t>
      </w:r>
    </w:p>
    <w:p w:rsidR="00B6158F" w:rsidRDefault="00B6158F">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B6158F" w:rsidRDefault="00B6158F">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B6158F" w:rsidRDefault="00B6158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1,074.79</w:t>
      </w:r>
      <w:r>
        <w:rPr>
          <w:rFonts w:ascii="仿宋_GB2312" w:eastAsia="仿宋_GB2312" w:hint="eastAsia"/>
          <w:sz w:val="32"/>
          <w:szCs w:val="32"/>
        </w:rPr>
        <w:t>万元，与上年相比，增加</w:t>
      </w:r>
      <w:r>
        <w:rPr>
          <w:rFonts w:ascii="仿宋_GB2312" w:eastAsia="仿宋_GB2312"/>
          <w:sz w:val="32"/>
          <w:szCs w:val="32"/>
        </w:rPr>
        <w:t>221.44</w:t>
      </w:r>
      <w:r>
        <w:rPr>
          <w:rFonts w:ascii="仿宋_GB2312" w:eastAsia="仿宋_GB2312" w:hint="eastAsia"/>
          <w:sz w:val="32"/>
          <w:szCs w:val="32"/>
        </w:rPr>
        <w:t>万元，增长</w:t>
      </w:r>
      <w:r>
        <w:rPr>
          <w:rFonts w:ascii="仿宋_GB2312" w:eastAsia="仿宋_GB2312"/>
          <w:sz w:val="32"/>
          <w:szCs w:val="32"/>
        </w:rPr>
        <w:t>25.95%</w:t>
      </w:r>
      <w:r>
        <w:rPr>
          <w:rFonts w:ascii="仿宋_GB2312" w:eastAsia="仿宋_GB2312" w:hint="eastAsia"/>
          <w:sz w:val="32"/>
          <w:szCs w:val="32"/>
        </w:rPr>
        <w:t>，主要原因是：</w:t>
      </w:r>
      <w:r>
        <w:rPr>
          <w:rFonts w:ascii="仿宋_GB2312" w:eastAsia="仿宋_GB2312" w:hint="eastAsia"/>
          <w:color w:val="000000"/>
          <w:sz w:val="32"/>
          <w:szCs w:val="32"/>
        </w:rPr>
        <w:t>工资基数调整和新增重大公共卫生补助，重大传染病工作经费和防治结核病项目资金收入增长。</w:t>
      </w:r>
      <w:r>
        <w:rPr>
          <w:rFonts w:ascii="仿宋_GB2312" w:eastAsia="仿宋_GB2312" w:hint="eastAsia"/>
          <w:sz w:val="32"/>
          <w:szCs w:val="32"/>
        </w:rPr>
        <w:t>本年支出</w:t>
      </w:r>
      <w:r>
        <w:rPr>
          <w:rFonts w:ascii="仿宋_GB2312" w:eastAsia="仿宋_GB2312"/>
          <w:sz w:val="32"/>
          <w:szCs w:val="32"/>
        </w:rPr>
        <w:t>1,074.79</w:t>
      </w:r>
      <w:r>
        <w:rPr>
          <w:rFonts w:ascii="仿宋_GB2312" w:eastAsia="仿宋_GB2312" w:hint="eastAsia"/>
          <w:sz w:val="32"/>
          <w:szCs w:val="32"/>
        </w:rPr>
        <w:t>万元，与上年相比，增加</w:t>
      </w:r>
      <w:r>
        <w:rPr>
          <w:rFonts w:ascii="仿宋_GB2312" w:eastAsia="仿宋_GB2312"/>
          <w:sz w:val="32"/>
          <w:szCs w:val="32"/>
        </w:rPr>
        <w:t>211.22</w:t>
      </w:r>
      <w:r>
        <w:rPr>
          <w:rFonts w:ascii="仿宋_GB2312" w:eastAsia="仿宋_GB2312" w:hint="eastAsia"/>
          <w:sz w:val="32"/>
          <w:szCs w:val="32"/>
        </w:rPr>
        <w:t>万元，增长</w:t>
      </w:r>
      <w:r>
        <w:rPr>
          <w:rFonts w:ascii="仿宋_GB2312" w:eastAsia="仿宋_GB2312"/>
          <w:sz w:val="32"/>
          <w:szCs w:val="32"/>
        </w:rPr>
        <w:t>24.46%</w:t>
      </w:r>
      <w:r>
        <w:rPr>
          <w:rFonts w:ascii="仿宋_GB2312" w:eastAsia="仿宋_GB2312" w:hint="eastAsia"/>
          <w:sz w:val="32"/>
          <w:szCs w:val="32"/>
        </w:rPr>
        <w:t>，主要原因是：</w:t>
      </w:r>
      <w:r>
        <w:rPr>
          <w:rFonts w:ascii="仿宋_GB2312" w:eastAsia="仿宋_GB2312" w:hint="eastAsia"/>
          <w:color w:val="000000"/>
          <w:sz w:val="32"/>
          <w:szCs w:val="32"/>
        </w:rPr>
        <w:t>工资基数调整和新增重大公共卫生补助，重大传染病工作经费和防治结核病项目资金支出增长。</w:t>
      </w:r>
    </w:p>
    <w:p w:rsidR="00B6158F" w:rsidRDefault="00B6158F">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B6158F" w:rsidRDefault="00B6158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1,074.79</w:t>
      </w:r>
      <w:r>
        <w:rPr>
          <w:rFonts w:ascii="仿宋_GB2312" w:eastAsia="仿宋_GB2312" w:hint="eastAsia"/>
          <w:sz w:val="32"/>
          <w:szCs w:val="32"/>
        </w:rPr>
        <w:t>万元，其中：财政拨款收入</w:t>
      </w:r>
      <w:r>
        <w:rPr>
          <w:rFonts w:ascii="仿宋_GB2312" w:eastAsia="仿宋_GB2312"/>
          <w:sz w:val="32"/>
          <w:szCs w:val="32"/>
        </w:rPr>
        <w:t>1,073.79</w:t>
      </w:r>
      <w:r>
        <w:rPr>
          <w:rFonts w:ascii="仿宋_GB2312" w:eastAsia="仿宋_GB2312" w:hint="eastAsia"/>
          <w:sz w:val="32"/>
          <w:szCs w:val="32"/>
        </w:rPr>
        <w:t>万元，占</w:t>
      </w:r>
      <w:r>
        <w:rPr>
          <w:rFonts w:ascii="仿宋_GB2312" w:eastAsia="仿宋_GB2312"/>
          <w:sz w:val="32"/>
          <w:szCs w:val="32"/>
        </w:rPr>
        <w:t>99.91%</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1</w:t>
      </w:r>
      <w:r>
        <w:rPr>
          <w:rFonts w:ascii="仿宋_GB2312" w:eastAsia="仿宋_GB2312" w:hint="eastAsia"/>
          <w:sz w:val="32"/>
          <w:szCs w:val="32"/>
        </w:rPr>
        <w:t>万元，占</w:t>
      </w:r>
      <w:r>
        <w:rPr>
          <w:rFonts w:ascii="仿宋_GB2312" w:eastAsia="仿宋_GB2312"/>
          <w:sz w:val="32"/>
          <w:szCs w:val="32"/>
        </w:rPr>
        <w:t>0.09%</w:t>
      </w:r>
      <w:r>
        <w:rPr>
          <w:rFonts w:ascii="仿宋_GB2312" w:eastAsia="仿宋_GB2312" w:hint="eastAsia"/>
          <w:sz w:val="32"/>
          <w:szCs w:val="32"/>
        </w:rPr>
        <w:t>。</w:t>
      </w:r>
    </w:p>
    <w:p w:rsidR="00B6158F" w:rsidRDefault="00B6158F">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B6158F" w:rsidRDefault="00B6158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1,074.79</w:t>
      </w:r>
      <w:r>
        <w:rPr>
          <w:rFonts w:ascii="仿宋_GB2312" w:eastAsia="仿宋_GB2312" w:hint="eastAsia"/>
          <w:sz w:val="32"/>
          <w:szCs w:val="32"/>
        </w:rPr>
        <w:t>万元，其中：基本支出</w:t>
      </w:r>
      <w:r>
        <w:rPr>
          <w:rFonts w:ascii="仿宋_GB2312" w:eastAsia="仿宋_GB2312"/>
          <w:sz w:val="32"/>
          <w:szCs w:val="32"/>
        </w:rPr>
        <w:t>595.17</w:t>
      </w:r>
      <w:r>
        <w:rPr>
          <w:rFonts w:ascii="仿宋_GB2312" w:eastAsia="仿宋_GB2312" w:hint="eastAsia"/>
          <w:sz w:val="32"/>
          <w:szCs w:val="32"/>
        </w:rPr>
        <w:t>万元，占</w:t>
      </w:r>
      <w:r>
        <w:rPr>
          <w:rFonts w:ascii="仿宋_GB2312" w:eastAsia="仿宋_GB2312"/>
          <w:sz w:val="32"/>
          <w:szCs w:val="32"/>
        </w:rPr>
        <w:t>55.38%</w:t>
      </w:r>
      <w:r>
        <w:rPr>
          <w:rFonts w:ascii="仿宋_GB2312" w:eastAsia="仿宋_GB2312" w:hint="eastAsia"/>
          <w:sz w:val="32"/>
          <w:szCs w:val="32"/>
        </w:rPr>
        <w:t>；项目支出</w:t>
      </w:r>
      <w:r>
        <w:rPr>
          <w:rFonts w:ascii="仿宋_GB2312" w:eastAsia="仿宋_GB2312"/>
          <w:sz w:val="32"/>
          <w:szCs w:val="32"/>
        </w:rPr>
        <w:t>479.61</w:t>
      </w:r>
      <w:r>
        <w:rPr>
          <w:rFonts w:ascii="仿宋_GB2312" w:eastAsia="仿宋_GB2312" w:hint="eastAsia"/>
          <w:sz w:val="32"/>
          <w:szCs w:val="32"/>
        </w:rPr>
        <w:t>万元，占</w:t>
      </w:r>
      <w:r>
        <w:rPr>
          <w:rFonts w:ascii="仿宋_GB2312" w:eastAsia="仿宋_GB2312"/>
          <w:sz w:val="32"/>
          <w:szCs w:val="32"/>
        </w:rPr>
        <w:t>44.62%</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B6158F" w:rsidRDefault="00B6158F">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B6158F" w:rsidRPr="001848EE" w:rsidRDefault="00B6158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1,073.79</w:t>
      </w:r>
      <w:r>
        <w:rPr>
          <w:rFonts w:ascii="仿宋_GB2312" w:eastAsia="仿宋_GB2312" w:hint="eastAsia"/>
          <w:sz w:val="32"/>
          <w:szCs w:val="32"/>
        </w:rPr>
        <w:t>万元，与上年相比，增加</w:t>
      </w:r>
      <w:r>
        <w:rPr>
          <w:rFonts w:ascii="仿宋_GB2312" w:eastAsia="仿宋_GB2312"/>
          <w:sz w:val="32"/>
          <w:szCs w:val="32"/>
        </w:rPr>
        <w:t>220.44</w:t>
      </w:r>
      <w:r>
        <w:rPr>
          <w:rFonts w:ascii="仿宋_GB2312" w:eastAsia="仿宋_GB2312" w:hint="eastAsia"/>
          <w:sz w:val="32"/>
          <w:szCs w:val="32"/>
        </w:rPr>
        <w:t>万元，增长</w:t>
      </w:r>
      <w:r>
        <w:rPr>
          <w:rFonts w:ascii="仿宋_GB2312" w:eastAsia="仿宋_GB2312"/>
          <w:sz w:val="32"/>
          <w:szCs w:val="32"/>
        </w:rPr>
        <w:t>25.83%</w:t>
      </w:r>
      <w:r>
        <w:rPr>
          <w:rFonts w:ascii="仿宋_GB2312" w:eastAsia="仿宋_GB2312" w:hint="eastAsia"/>
          <w:sz w:val="32"/>
          <w:szCs w:val="32"/>
        </w:rPr>
        <w:t>，主要原因是：工资基数调整和新增重大公共卫生补助，重大传染病工作经费和防治结核病项目资金收入增长。财政拨款支出</w:t>
      </w:r>
      <w:r>
        <w:rPr>
          <w:rFonts w:ascii="仿宋_GB2312" w:eastAsia="仿宋_GB2312"/>
          <w:sz w:val="32"/>
          <w:szCs w:val="32"/>
        </w:rPr>
        <w:t>1,073.79</w:t>
      </w:r>
      <w:r>
        <w:rPr>
          <w:rFonts w:ascii="仿宋_GB2312" w:eastAsia="仿宋_GB2312" w:hint="eastAsia"/>
          <w:sz w:val="32"/>
          <w:szCs w:val="32"/>
        </w:rPr>
        <w:t>万元，与上年相比，增加</w:t>
      </w:r>
      <w:r>
        <w:rPr>
          <w:rFonts w:ascii="仿宋_GB2312" w:eastAsia="仿宋_GB2312"/>
          <w:sz w:val="32"/>
          <w:szCs w:val="32"/>
        </w:rPr>
        <w:t>220.44</w:t>
      </w:r>
      <w:r>
        <w:rPr>
          <w:rFonts w:ascii="仿宋_GB2312" w:eastAsia="仿宋_GB2312" w:hint="eastAsia"/>
          <w:sz w:val="32"/>
          <w:szCs w:val="32"/>
        </w:rPr>
        <w:t>万元，增长</w:t>
      </w:r>
      <w:r>
        <w:rPr>
          <w:rFonts w:ascii="仿宋_GB2312" w:eastAsia="仿宋_GB2312"/>
          <w:sz w:val="32"/>
          <w:szCs w:val="32"/>
        </w:rPr>
        <w:t>25.83%</w:t>
      </w:r>
      <w:r>
        <w:rPr>
          <w:rFonts w:ascii="仿宋_GB2312" w:eastAsia="仿宋_GB2312" w:hint="eastAsia"/>
          <w:sz w:val="32"/>
          <w:szCs w:val="32"/>
        </w:rPr>
        <w:t>，主要原因是：工资基数调整和新增重大公共卫生补助，重大传染病工作经费和防治结核病项目资金支出增长。</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651.77</w:t>
      </w:r>
      <w:r>
        <w:rPr>
          <w:rFonts w:ascii="仿宋_GB2312" w:eastAsia="仿宋_GB2312" w:hint="eastAsia"/>
          <w:sz w:val="32"/>
          <w:szCs w:val="32"/>
        </w:rPr>
        <w:t>万元，决算数</w:t>
      </w:r>
      <w:r>
        <w:rPr>
          <w:rFonts w:ascii="仿宋_GB2312" w:eastAsia="仿宋_GB2312"/>
          <w:sz w:val="32"/>
          <w:szCs w:val="32"/>
        </w:rPr>
        <w:t>1,073.79</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64.75%</w:t>
      </w:r>
      <w:r>
        <w:rPr>
          <w:rFonts w:ascii="仿宋_GB2312" w:eastAsia="仿宋_GB2312" w:hint="eastAsia"/>
          <w:color w:val="000000"/>
          <w:sz w:val="32"/>
          <w:szCs w:val="32"/>
        </w:rPr>
        <w:t>，主要原因是：工资基数调整和新增重大公共卫生补助，重大传染病工作经费和防治结核病项目资金收入增长。</w:t>
      </w:r>
      <w:r>
        <w:rPr>
          <w:rFonts w:ascii="仿宋_GB2312" w:eastAsia="仿宋_GB2312" w:hint="eastAsia"/>
          <w:sz w:val="32"/>
          <w:szCs w:val="32"/>
        </w:rPr>
        <w:t>财政拨款支出年初预算数</w:t>
      </w:r>
      <w:r>
        <w:rPr>
          <w:rFonts w:ascii="仿宋_GB2312" w:eastAsia="仿宋_GB2312"/>
          <w:color w:val="000000"/>
          <w:sz w:val="32"/>
          <w:szCs w:val="32"/>
        </w:rPr>
        <w:t>896.53</w:t>
      </w:r>
      <w:r>
        <w:rPr>
          <w:rFonts w:ascii="仿宋_GB2312" w:eastAsia="仿宋_GB2312" w:hint="eastAsia"/>
          <w:sz w:val="32"/>
          <w:szCs w:val="32"/>
        </w:rPr>
        <w:t>万元，决算数</w:t>
      </w:r>
      <w:r>
        <w:rPr>
          <w:rFonts w:ascii="仿宋_GB2312" w:eastAsia="仿宋_GB2312"/>
          <w:sz w:val="32"/>
          <w:szCs w:val="32"/>
        </w:rPr>
        <w:t>1,073.79</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19.77%</w:t>
      </w:r>
      <w:r>
        <w:rPr>
          <w:rFonts w:ascii="仿宋_GB2312" w:eastAsia="仿宋_GB2312" w:hint="eastAsia"/>
          <w:color w:val="000000"/>
          <w:sz w:val="32"/>
          <w:szCs w:val="32"/>
        </w:rPr>
        <w:t>，主要原因是：工资基数调整和新增重大公共卫生补助，重大传染病工作经费和防治结核病项目资金支出增长。</w:t>
      </w:r>
    </w:p>
    <w:p w:rsidR="00B6158F" w:rsidRDefault="00B6158F">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B6158F" w:rsidRDefault="00B6158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1,073.79</w:t>
      </w:r>
      <w:r>
        <w:rPr>
          <w:rFonts w:ascii="仿宋_GB2312" w:eastAsia="仿宋_GB2312" w:hint="eastAsia"/>
          <w:sz w:val="32"/>
          <w:szCs w:val="32"/>
        </w:rPr>
        <w:t>万元。按功能分类科目项级科目公开，其中：</w:t>
      </w:r>
    </w:p>
    <w:p w:rsidR="00B6158F" w:rsidRDefault="00B6158F" w:rsidP="00560394">
      <w:pPr>
        <w:rPr>
          <w:rFonts w:ascii="仿宋_GB2312" w:eastAsia="仿宋_GB2312"/>
          <w:sz w:val="32"/>
          <w:szCs w:val="32"/>
        </w:rPr>
      </w:pPr>
      <w:r>
        <w:rPr>
          <w:rFonts w:ascii="仿宋_GB2312" w:eastAsia="仿宋_GB2312"/>
          <w:sz w:val="32"/>
          <w:szCs w:val="32"/>
        </w:rP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58.13</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9.27</w:t>
      </w:r>
      <w:r>
        <w:rPr>
          <w:rFonts w:ascii="仿宋_GB2312" w:eastAsia="仿宋_GB2312" w:hint="eastAsia"/>
          <w:sz w:val="32"/>
          <w:szCs w:val="32"/>
        </w:rPr>
        <w:t>万元；</w:t>
      </w:r>
      <w:r>
        <w:rPr>
          <w:rFonts w:ascii="仿宋_GB2312" w:eastAsia="仿宋_GB2312"/>
          <w:sz w:val="32"/>
          <w:szCs w:val="32"/>
        </w:rPr>
        <w:br/>
        <w:t xml:space="preserve">   2100401</w:t>
      </w:r>
      <w:r>
        <w:rPr>
          <w:rFonts w:ascii="仿宋_GB2312" w:eastAsia="仿宋_GB2312" w:hint="eastAsia"/>
          <w:sz w:val="32"/>
          <w:szCs w:val="32"/>
        </w:rPr>
        <w:t>疾病预防控制机构支出</w:t>
      </w:r>
      <w:r>
        <w:rPr>
          <w:rFonts w:ascii="仿宋_GB2312" w:eastAsia="仿宋_GB2312"/>
          <w:sz w:val="32"/>
          <w:szCs w:val="32"/>
        </w:rPr>
        <w:t>499.48</w:t>
      </w:r>
      <w:r>
        <w:rPr>
          <w:rFonts w:ascii="仿宋_GB2312" w:eastAsia="仿宋_GB2312" w:hint="eastAsia"/>
          <w:sz w:val="32"/>
          <w:szCs w:val="32"/>
        </w:rPr>
        <w:t>万元；</w:t>
      </w:r>
      <w:r>
        <w:rPr>
          <w:rFonts w:ascii="仿宋_GB2312" w:eastAsia="仿宋_GB2312"/>
          <w:sz w:val="32"/>
          <w:szCs w:val="32"/>
        </w:rPr>
        <w:br/>
        <w:t xml:space="preserve">   2100409</w:t>
      </w:r>
      <w:r>
        <w:rPr>
          <w:rFonts w:ascii="仿宋_GB2312" w:eastAsia="仿宋_GB2312" w:hint="eastAsia"/>
          <w:sz w:val="32"/>
          <w:szCs w:val="32"/>
        </w:rPr>
        <w:t>重大公共卫生专项支出</w:t>
      </w:r>
      <w:r>
        <w:rPr>
          <w:rFonts w:ascii="仿宋_GB2312" w:eastAsia="仿宋_GB2312"/>
          <w:sz w:val="32"/>
          <w:szCs w:val="32"/>
        </w:rPr>
        <w:t>469.61</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37.29</w:t>
      </w:r>
      <w:r>
        <w:rPr>
          <w:rFonts w:ascii="仿宋_GB2312" w:eastAsia="仿宋_GB2312" w:hint="eastAsia"/>
          <w:sz w:val="32"/>
          <w:szCs w:val="32"/>
        </w:rPr>
        <w:t>万元。</w:t>
      </w:r>
    </w:p>
    <w:p w:rsidR="00B6158F" w:rsidRDefault="00B6158F">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B6158F" w:rsidRDefault="00B6158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594.17</w:t>
      </w:r>
      <w:r>
        <w:rPr>
          <w:rFonts w:ascii="仿宋_GB2312" w:eastAsia="仿宋_GB2312" w:hint="eastAsia"/>
          <w:sz w:val="32"/>
          <w:szCs w:val="32"/>
        </w:rPr>
        <w:t>万元，其中：</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578.83</w:t>
      </w:r>
      <w:r>
        <w:rPr>
          <w:rFonts w:ascii="仿宋_GB2312" w:eastAsia="仿宋_GB2312" w:hint="eastAsia"/>
          <w:sz w:val="32"/>
          <w:szCs w:val="32"/>
        </w:rPr>
        <w:t>万元，包括：基本工资、津贴补贴、奖金、绩效工资、机关事业单位基本养老保险缴费、职业年金缴费、职工基本医疗保险缴费、公务员医疗补助缴费、其他社会保障缴费、住房公积金、其他工资福利支出、退休费、抚恤金、生活补助、奖励金、其他对个人和家庭的补助。</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15.34</w:t>
      </w:r>
      <w:r>
        <w:rPr>
          <w:rFonts w:ascii="仿宋_GB2312" w:eastAsia="仿宋_GB2312" w:hint="eastAsia"/>
          <w:sz w:val="32"/>
          <w:szCs w:val="32"/>
        </w:rPr>
        <w:t>万元，包括：办公费、水费、电费、取暖费、专用材料费、公务用车运行维护费、其他商品和服务支出。</w:t>
      </w:r>
    </w:p>
    <w:p w:rsidR="00B6158F" w:rsidRDefault="00B6158F">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B6158F" w:rsidRDefault="00B6158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2.47</w:t>
      </w:r>
      <w:r>
        <w:rPr>
          <w:rFonts w:ascii="仿宋_GB2312" w:eastAsia="仿宋_GB2312" w:hint="eastAsia"/>
          <w:sz w:val="32"/>
          <w:szCs w:val="32"/>
        </w:rPr>
        <w:t>万元，比上年增加</w:t>
      </w:r>
      <w:r>
        <w:rPr>
          <w:rFonts w:ascii="仿宋_GB2312" w:eastAsia="仿宋_GB2312"/>
          <w:sz w:val="32"/>
          <w:szCs w:val="32"/>
        </w:rPr>
        <w:t>2.47</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，主要原因是</w:t>
      </w:r>
      <w:r>
        <w:rPr>
          <w:rFonts w:ascii="仿宋_GB2312" w:eastAsia="仿宋_GB2312"/>
          <w:sz w:val="32"/>
          <w:szCs w:val="32"/>
        </w:rPr>
        <w:t>2018</w:t>
      </w:r>
      <w:r>
        <w:rPr>
          <w:rFonts w:ascii="仿宋_GB2312" w:eastAsia="仿宋_GB2312" w:hint="eastAsia"/>
          <w:sz w:val="32"/>
          <w:szCs w:val="32"/>
        </w:rPr>
        <w:t>年决算报表中未填列“三公”经费支出。其中，因公出国（境）费支出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，主要原因是与上年相比无变动，与上年一致；公务用车购置及运行维护费支出</w:t>
      </w:r>
      <w:r>
        <w:rPr>
          <w:rFonts w:ascii="仿宋_GB2312" w:eastAsia="仿宋_GB2312"/>
          <w:sz w:val="32"/>
          <w:szCs w:val="32"/>
        </w:rPr>
        <w:t>2.47</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2.47</w:t>
      </w:r>
      <w:r>
        <w:rPr>
          <w:rFonts w:ascii="仿宋_GB2312" w:eastAsia="仿宋_GB2312" w:hint="eastAsia"/>
          <w:sz w:val="32"/>
          <w:szCs w:val="32"/>
        </w:rPr>
        <w:t>万元，增长</w:t>
      </w:r>
      <w:r>
        <w:rPr>
          <w:rFonts w:ascii="仿宋_GB2312" w:eastAsia="仿宋_GB2312"/>
          <w:sz w:val="32"/>
          <w:szCs w:val="32"/>
        </w:rPr>
        <w:t>100%</w:t>
      </w:r>
      <w:r>
        <w:rPr>
          <w:rFonts w:ascii="仿宋_GB2312" w:eastAsia="仿宋_GB2312" w:hint="eastAsia"/>
          <w:sz w:val="32"/>
          <w:szCs w:val="32"/>
        </w:rPr>
        <w:t>，主要原因是</w:t>
      </w:r>
      <w:r>
        <w:rPr>
          <w:rFonts w:ascii="仿宋_GB2312" w:eastAsia="仿宋_GB2312"/>
          <w:sz w:val="32"/>
          <w:szCs w:val="32"/>
        </w:rPr>
        <w:t>2018</w:t>
      </w:r>
      <w:r>
        <w:rPr>
          <w:rFonts w:ascii="仿宋_GB2312" w:eastAsia="仿宋_GB2312" w:hint="eastAsia"/>
          <w:sz w:val="32"/>
          <w:szCs w:val="32"/>
        </w:rPr>
        <w:t>年决算报表中未填列公务用车购置及运行维护费支出；公务接待费支出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，主要原因是与上年相比无变动，与上年一致。具体情况如下：</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2.47</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2.47</w:t>
      </w:r>
      <w:r>
        <w:rPr>
          <w:rFonts w:ascii="仿宋_GB2312" w:eastAsia="仿宋_GB2312" w:hint="eastAsia"/>
          <w:sz w:val="32"/>
          <w:szCs w:val="32"/>
        </w:rPr>
        <w:t>万元。公务用车运行维护费开支内容包括车辆保险费、汽车油料和维护费。公务用车购置数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2</w:t>
      </w:r>
      <w:r>
        <w:rPr>
          <w:rFonts w:ascii="仿宋_GB2312" w:eastAsia="仿宋_GB2312" w:hint="eastAsia"/>
          <w:sz w:val="32"/>
          <w:szCs w:val="32"/>
        </w:rPr>
        <w:t>辆。</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2.60</w:t>
      </w:r>
      <w:r>
        <w:rPr>
          <w:rFonts w:ascii="仿宋_GB2312" w:eastAsia="仿宋_GB2312" w:hint="eastAsia"/>
          <w:sz w:val="32"/>
          <w:szCs w:val="32"/>
        </w:rPr>
        <w:t>万元，决算数</w:t>
      </w:r>
      <w:r>
        <w:rPr>
          <w:rFonts w:ascii="仿宋_GB2312" w:eastAsia="仿宋_GB2312"/>
          <w:color w:val="000000"/>
          <w:sz w:val="32"/>
          <w:szCs w:val="32"/>
        </w:rPr>
        <w:t>2.47</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-5%</w:t>
      </w:r>
      <w:r>
        <w:rPr>
          <w:rFonts w:ascii="仿宋_GB2312" w:eastAsia="仿宋_GB2312" w:hint="eastAsia"/>
          <w:color w:val="000000"/>
          <w:sz w:val="32"/>
          <w:szCs w:val="32"/>
        </w:rPr>
        <w:t>，主要原因是：汽车维修费未及时提供票据，未支付。</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2.60</w:t>
      </w:r>
      <w:r>
        <w:rPr>
          <w:rFonts w:ascii="仿宋_GB2312" w:eastAsia="仿宋_GB2312" w:hint="eastAsia"/>
          <w:sz w:val="32"/>
          <w:szCs w:val="32"/>
        </w:rPr>
        <w:t>万元，决算数</w:t>
      </w:r>
      <w:r>
        <w:rPr>
          <w:rFonts w:ascii="仿宋_GB2312" w:eastAsia="仿宋_GB2312"/>
          <w:color w:val="000000"/>
          <w:sz w:val="32"/>
          <w:szCs w:val="32"/>
        </w:rPr>
        <w:t>2.47</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-5%</w:t>
      </w:r>
      <w:r>
        <w:rPr>
          <w:rFonts w:ascii="仿宋_GB2312" w:eastAsia="仿宋_GB2312" w:hint="eastAsia"/>
          <w:color w:val="000000"/>
          <w:sz w:val="32"/>
          <w:szCs w:val="32"/>
        </w:rPr>
        <w:t>，主要原因是：汽车维修费未及时提供票据，未支付；</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B6158F" w:rsidRDefault="00B6158F">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B6158F" w:rsidRPr="008F7D99" w:rsidRDefault="00B6158F">
      <w:pPr>
        <w:ind w:firstLineChars="200" w:firstLine="640"/>
        <w:rPr>
          <w:rFonts w:ascii="仿宋_GB2312" w:eastAsia="仿宋_GB2312"/>
          <w:color w:val="000000"/>
          <w:sz w:val="32"/>
          <w:szCs w:val="32"/>
        </w:rPr>
      </w:pPr>
      <w:r w:rsidRPr="00082456">
        <w:rPr>
          <w:rFonts w:ascii="仿宋_GB2312" w:eastAsia="仿宋_GB2312" w:hint="eastAsia"/>
          <w:color w:val="000000"/>
          <w:sz w:val="32"/>
          <w:szCs w:val="32"/>
        </w:rPr>
        <w:t>我单位本年度无政府性基金预算财政拨款收入支出，政府性基金预算财政拨款收入支出决算表为空表。</w:t>
      </w:r>
    </w:p>
    <w:p w:rsidR="00B6158F" w:rsidRDefault="00B6158F">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B6158F" w:rsidRDefault="00B6158F">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B6158F" w:rsidRDefault="00B6158F">
      <w:pPr>
        <w:ind w:firstLineChars="200" w:firstLine="640"/>
        <w:rPr>
          <w:rFonts w:ascii="仿宋_GB2312" w:eastAsia="仿宋_GB2312"/>
          <w:sz w:val="32"/>
          <w:szCs w:val="32"/>
        </w:rPr>
      </w:pPr>
      <w:r>
        <w:rPr>
          <w:rFonts w:ascii="仿宋_GB2312" w:eastAsia="仿宋_GB2312" w:hint="eastAsia"/>
          <w:color w:val="000000"/>
          <w:sz w:val="32"/>
          <w:szCs w:val="32"/>
        </w:rPr>
        <w:t>新疆喀什地区结核病防治所防痨科日常公用经费</w:t>
      </w:r>
      <w:r>
        <w:rPr>
          <w:rFonts w:ascii="仿宋_GB2312" w:eastAsia="仿宋_GB2312"/>
          <w:color w:val="000000"/>
          <w:sz w:val="32"/>
          <w:szCs w:val="32"/>
        </w:rPr>
        <w:t>15.34</w:t>
      </w:r>
      <w:r>
        <w:rPr>
          <w:rFonts w:ascii="仿宋_GB2312" w:eastAsia="仿宋_GB2312" w:hint="eastAsia"/>
          <w:color w:val="000000"/>
          <w:sz w:val="32"/>
          <w:szCs w:val="32"/>
        </w:rPr>
        <w:t>万元，比上年减少</w:t>
      </w:r>
      <w:r>
        <w:rPr>
          <w:rFonts w:ascii="仿宋_GB2312" w:eastAsia="仿宋_GB2312"/>
          <w:color w:val="000000"/>
          <w:sz w:val="32"/>
          <w:szCs w:val="32"/>
        </w:rPr>
        <w:t>1.01</w:t>
      </w:r>
      <w:r>
        <w:rPr>
          <w:rFonts w:ascii="仿宋_GB2312" w:eastAsia="仿宋_GB2312" w:hint="eastAsia"/>
          <w:color w:val="000000"/>
          <w:sz w:val="32"/>
          <w:szCs w:val="32"/>
        </w:rPr>
        <w:t>万元，降低</w:t>
      </w:r>
      <w:r>
        <w:rPr>
          <w:rFonts w:ascii="仿宋_GB2312" w:eastAsia="仿宋_GB2312"/>
          <w:color w:val="000000"/>
          <w:sz w:val="32"/>
          <w:szCs w:val="32"/>
        </w:rPr>
        <w:t>6.18%</w:t>
      </w:r>
      <w:r>
        <w:rPr>
          <w:rFonts w:ascii="仿宋_GB2312" w:eastAsia="仿宋_GB2312" w:hint="eastAsia"/>
          <w:color w:val="000000"/>
          <w:sz w:val="32"/>
          <w:szCs w:val="32"/>
        </w:rPr>
        <w:t>，主要原因是相关工作经费减少。</w:t>
      </w:r>
    </w:p>
    <w:p w:rsidR="00B6158F" w:rsidRDefault="00B6158F">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B6158F" w:rsidRDefault="00B6158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12.35</w:t>
      </w:r>
      <w:r>
        <w:rPr>
          <w:rFonts w:ascii="仿宋_GB2312" w:eastAsia="仿宋_GB2312" w:hint="eastAsia"/>
          <w:sz w:val="32"/>
          <w:szCs w:val="32"/>
        </w:rPr>
        <w:t>万元，其中：政府采购货物支出</w:t>
      </w:r>
      <w:r>
        <w:rPr>
          <w:rFonts w:ascii="仿宋_GB2312" w:eastAsia="仿宋_GB2312"/>
          <w:sz w:val="32"/>
          <w:szCs w:val="32"/>
        </w:rPr>
        <w:t>12.35</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12.35</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0</w:t>
      </w:r>
      <w:r>
        <w:rPr>
          <w:rFonts w:ascii="仿宋_GB2312" w:eastAsia="仿宋_GB2312" w:hint="eastAsia"/>
          <w:sz w:val="32"/>
          <w:szCs w:val="32"/>
        </w:rPr>
        <w:t>万元，占政府采购支出总额的</w:t>
      </w:r>
      <w:r>
        <w:rPr>
          <w:rFonts w:ascii="仿宋_GB2312" w:eastAsia="仿宋_GB2312"/>
          <w:sz w:val="32"/>
          <w:szCs w:val="32"/>
        </w:rPr>
        <w:t>0%</w:t>
      </w:r>
      <w:r>
        <w:rPr>
          <w:rFonts w:ascii="仿宋_GB2312" w:eastAsia="仿宋_GB2312" w:hint="eastAsia"/>
          <w:sz w:val="32"/>
          <w:szCs w:val="32"/>
        </w:rPr>
        <w:t>。</w:t>
      </w:r>
    </w:p>
    <w:p w:rsidR="00B6158F" w:rsidRDefault="00B6158F">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万元。车辆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27.50</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2</w:t>
      </w:r>
      <w:r>
        <w:rPr>
          <w:rFonts w:ascii="仿宋_GB2312" w:eastAsia="仿宋_GB2312" w:hint="eastAsia"/>
          <w:sz w:val="32"/>
          <w:szCs w:val="32"/>
        </w:rPr>
        <w:t>辆，其他用车主要是：</w:t>
      </w:r>
      <w:r>
        <w:rPr>
          <w:rFonts w:ascii="仿宋_GB2312" w:eastAsia="仿宋_GB2312" w:hint="eastAsia"/>
          <w:color w:val="000000"/>
          <w:sz w:val="32"/>
          <w:szCs w:val="32"/>
        </w:rPr>
        <w:t>结核病防治督导业务用车；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B6158F" w:rsidRDefault="00B6158F">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B6158F" w:rsidRDefault="00B6158F" w:rsidP="00CA2EBB">
      <w:pPr>
        <w:ind w:firstLineChars="200" w:firstLine="640"/>
        <w:rPr>
          <w:rFonts w:ascii="仿宋_GB2312" w:eastAsia="仿宋_GB2312"/>
          <w:sz w:val="32"/>
          <w:szCs w:val="32"/>
        </w:rPr>
      </w:pPr>
      <w:bookmarkStart w:id="34" w:name="_Toc24143"/>
      <w:bookmarkStart w:id="35" w:name="_Toc3250"/>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6</w:t>
      </w:r>
      <w:r>
        <w:rPr>
          <w:rFonts w:ascii="仿宋_GB2312" w:eastAsia="仿宋_GB2312" w:hint="eastAsia"/>
          <w:sz w:val="32"/>
          <w:szCs w:val="32"/>
        </w:rPr>
        <w:t>个，共涉及资金</w:t>
      </w:r>
      <w:r>
        <w:rPr>
          <w:rFonts w:ascii="仿宋_GB2312" w:eastAsia="仿宋_GB2312"/>
          <w:sz w:val="32"/>
          <w:szCs w:val="32"/>
        </w:rPr>
        <w:t>479.61</w:t>
      </w:r>
      <w:r>
        <w:rPr>
          <w:rFonts w:ascii="仿宋_GB2312" w:eastAsia="仿宋_GB2312" w:hint="eastAsia"/>
          <w:sz w:val="32"/>
          <w:szCs w:val="32"/>
        </w:rPr>
        <w:t>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较上年的变化，是有节约。二是效率性评价：各项工作计划是按预期计划按时完成，效益是按预期时间产生。三是效益性评价：预期的经济效益、社会效益、可持续的影响是产生，相关人员的满意度很好。发现的问题及原因：一是通过预算绩效管理，发现了工作中存在的不足，如项目管理不够，档案管理还不够规范，影响了项目绩效评价。下一步改进措施：一是年初做好单位各项工作绩效目标申报，按照绩效目标及时推进实施项目，收集整理项目资料，使资金使用效益最大化，减少不必要的浪费，节约成本。</w:t>
      </w:r>
    </w:p>
    <w:p w:rsidR="00B6158F" w:rsidRDefault="00B6158F">
      <w:pPr>
        <w:ind w:firstLineChars="200" w:firstLine="640"/>
        <w:jc w:val="center"/>
        <w:outlineLvl w:val="0"/>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6158F" w:rsidRDefault="00B6158F">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6158F" w:rsidRDefault="00B6158F">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6158F" w:rsidRDefault="00B6158F">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B6158F" w:rsidRDefault="00B6158F">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B6158F" w:rsidRDefault="00B6158F">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B6158F" w:rsidRDefault="00B6158F">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B6158F" w:rsidRDefault="00B6158F">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B6158F" w:rsidRDefault="00B6158F">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B6158F" w:rsidRDefault="00B6158F">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B6158F" w:rsidRDefault="00B6158F">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B6158F" w:rsidRDefault="00B6158F">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B6158F" w:rsidSect="008C05A4">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58F" w:rsidRDefault="00B6158F">
      <w:r>
        <w:separator/>
      </w:r>
    </w:p>
  </w:endnote>
  <w:endnote w:type="continuationSeparator" w:id="0">
    <w:p w:rsidR="00B6158F" w:rsidRDefault="00B615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variable"/>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58F" w:rsidRDefault="00B6158F">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B6158F" w:rsidRDefault="00B6158F">
                <w:pPr>
                  <w:pStyle w:val="Footer"/>
                </w:pPr>
                <w:fldSimple w:instr=" PAGE  \* MERGEFORMAT ">
                  <w: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58F" w:rsidRDefault="00B6158F">
      <w:r>
        <w:separator/>
      </w:r>
    </w:p>
  </w:footnote>
  <w:footnote w:type="continuationSeparator" w:id="0">
    <w:p w:rsidR="00B6158F" w:rsidRDefault="00B615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ocumentProtection w:edit="comments" w:enforcement="1" w:cryptProviderType="rsaFull" w:cryptAlgorithmClass="hash" w:cryptAlgorithmType="typeAny" w:cryptAlgorithmSid="4" w:cryptSpinCount="100000" w:hash="N13/qsAVPxt5kaKdc52dcb/jHrM=" w:salt="rsTGmRvxE51oT0+tR3rv+w=="/>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42287"/>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151EA"/>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84957"/>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C05A4"/>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158F"/>
    <w:rsid w:val="00B64D13"/>
    <w:rsid w:val="00B76725"/>
    <w:rsid w:val="00BA4E73"/>
    <w:rsid w:val="00BC38D2"/>
    <w:rsid w:val="00BC65E4"/>
    <w:rsid w:val="00BE0A9F"/>
    <w:rsid w:val="00C01003"/>
    <w:rsid w:val="00C322D7"/>
    <w:rsid w:val="00C87860"/>
    <w:rsid w:val="00C92609"/>
    <w:rsid w:val="00C974A0"/>
    <w:rsid w:val="00CA0969"/>
    <w:rsid w:val="00CA2EBB"/>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DF2749"/>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C05A4"/>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8C05A4"/>
    <w:pPr>
      <w:ind w:leftChars="200" w:left="420"/>
    </w:pPr>
  </w:style>
  <w:style w:type="paragraph" w:styleId="TOC1">
    <w:name w:val="toc 1"/>
    <w:basedOn w:val="Normal"/>
    <w:next w:val="Normal"/>
    <w:uiPriority w:val="99"/>
    <w:rsid w:val="008C05A4"/>
  </w:style>
  <w:style w:type="paragraph" w:styleId="Header">
    <w:name w:val="header"/>
    <w:basedOn w:val="Normal"/>
    <w:link w:val="HeaderChar"/>
    <w:uiPriority w:val="99"/>
    <w:rsid w:val="008C05A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TOC3">
    <w:name w:val="toc 3"/>
    <w:basedOn w:val="Normal"/>
    <w:next w:val="Normal"/>
    <w:uiPriority w:val="99"/>
    <w:rsid w:val="008C05A4"/>
    <w:pPr>
      <w:ind w:leftChars="400" w:left="840"/>
    </w:pPr>
  </w:style>
  <w:style w:type="paragraph" w:styleId="Footer">
    <w:name w:val="footer"/>
    <w:basedOn w:val="Normal"/>
    <w:link w:val="FooterChar"/>
    <w:uiPriority w:val="99"/>
    <w:rsid w:val="008C05A4"/>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CommentText">
    <w:name w:val="annotation text"/>
    <w:basedOn w:val="Normal"/>
    <w:link w:val="CommentTextChar"/>
    <w:uiPriority w:val="99"/>
    <w:rsid w:val="008C05A4"/>
    <w:pPr>
      <w:jc w:val="left"/>
    </w:pPr>
  </w:style>
  <w:style w:type="character" w:customStyle="1" w:styleId="CommentTextChar">
    <w:name w:val="Comment Text Char"/>
    <w:basedOn w:val="DefaultParagraphFont"/>
    <w:link w:val="CommentText"/>
    <w:uiPriority w:val="99"/>
    <w:semiHidden/>
    <w:locked/>
    <w:rPr>
      <w:rFonts w:cs="Times New Roman"/>
      <w:sz w:val="24"/>
      <w:szCs w:val="24"/>
    </w:rPr>
  </w:style>
  <w:style w:type="paragraph" w:customStyle="1" w:styleId="WPSOffice3">
    <w:name w:val="WPSOffice手动目录 3"/>
    <w:uiPriority w:val="99"/>
    <w:rsid w:val="008C05A4"/>
    <w:pPr>
      <w:ind w:leftChars="400" w:left="400"/>
    </w:pPr>
    <w:rPr>
      <w:kern w:val="0"/>
      <w:sz w:val="20"/>
      <w:szCs w:val="20"/>
    </w:rPr>
  </w:style>
  <w:style w:type="paragraph" w:customStyle="1" w:styleId="WPSOffice2">
    <w:name w:val="WPSOffice手动目录 2"/>
    <w:uiPriority w:val="99"/>
    <w:rsid w:val="008C05A4"/>
    <w:pPr>
      <w:ind w:leftChars="200" w:left="200"/>
    </w:pPr>
    <w:rPr>
      <w:kern w:val="0"/>
      <w:sz w:val="20"/>
      <w:szCs w:val="20"/>
    </w:rPr>
  </w:style>
  <w:style w:type="paragraph" w:customStyle="1" w:styleId="WPSOffice1">
    <w:name w:val="WPSOffice手动目录 1"/>
    <w:uiPriority w:val="99"/>
    <w:rsid w:val="008C05A4"/>
    <w:rPr>
      <w:kern w:val="0"/>
      <w:sz w:val="20"/>
      <w:szCs w:val="20"/>
    </w:rPr>
  </w:style>
</w:styles>
</file>

<file path=word/webSettings.xml><?xml version="1.0" encoding="utf-8"?>
<w:webSettings xmlns:r="http://schemas.openxmlformats.org/officeDocument/2006/relationships" xmlns:w="http://schemas.openxmlformats.org/wordprocessingml/2006/main">
  <w:divs>
    <w:div w:id="395129131">
      <w:marLeft w:val="0"/>
      <w:marRight w:val="0"/>
      <w:marTop w:val="0"/>
      <w:marBottom w:val="0"/>
      <w:divBdr>
        <w:top w:val="none" w:sz="0" w:space="0" w:color="auto"/>
        <w:left w:val="none" w:sz="0" w:space="0" w:color="auto"/>
        <w:bottom w:val="none" w:sz="0" w:space="0" w:color="auto"/>
        <w:right w:val="none" w:sz="0" w:space="0" w:color="auto"/>
      </w:divBdr>
    </w:div>
    <w:div w:id="395129132">
      <w:marLeft w:val="0"/>
      <w:marRight w:val="0"/>
      <w:marTop w:val="0"/>
      <w:marBottom w:val="0"/>
      <w:divBdr>
        <w:top w:val="none" w:sz="0" w:space="0" w:color="auto"/>
        <w:left w:val="none" w:sz="0" w:space="0" w:color="auto"/>
        <w:bottom w:val="none" w:sz="0" w:space="0" w:color="auto"/>
        <w:right w:val="none" w:sz="0" w:space="0" w:color="auto"/>
      </w:divBdr>
    </w:div>
    <w:div w:id="395129133">
      <w:marLeft w:val="0"/>
      <w:marRight w:val="0"/>
      <w:marTop w:val="0"/>
      <w:marBottom w:val="0"/>
      <w:divBdr>
        <w:top w:val="none" w:sz="0" w:space="0" w:color="auto"/>
        <w:left w:val="none" w:sz="0" w:space="0" w:color="auto"/>
        <w:bottom w:val="none" w:sz="0" w:space="0" w:color="auto"/>
        <w:right w:val="none" w:sz="0" w:space="0" w:color="auto"/>
      </w:divBdr>
    </w:div>
    <w:div w:id="395129134">
      <w:marLeft w:val="0"/>
      <w:marRight w:val="0"/>
      <w:marTop w:val="0"/>
      <w:marBottom w:val="0"/>
      <w:divBdr>
        <w:top w:val="none" w:sz="0" w:space="0" w:color="auto"/>
        <w:left w:val="none" w:sz="0" w:space="0" w:color="auto"/>
        <w:bottom w:val="none" w:sz="0" w:space="0" w:color="auto"/>
        <w:right w:val="none" w:sz="0" w:space="0" w:color="auto"/>
      </w:divBdr>
    </w:div>
    <w:div w:id="395129135">
      <w:marLeft w:val="0"/>
      <w:marRight w:val="0"/>
      <w:marTop w:val="0"/>
      <w:marBottom w:val="0"/>
      <w:divBdr>
        <w:top w:val="none" w:sz="0" w:space="0" w:color="auto"/>
        <w:left w:val="none" w:sz="0" w:space="0" w:color="auto"/>
        <w:bottom w:val="none" w:sz="0" w:space="0" w:color="auto"/>
        <w:right w:val="none" w:sz="0" w:space="0" w:color="auto"/>
      </w:divBdr>
    </w:div>
    <w:div w:id="395129136">
      <w:marLeft w:val="0"/>
      <w:marRight w:val="0"/>
      <w:marTop w:val="0"/>
      <w:marBottom w:val="0"/>
      <w:divBdr>
        <w:top w:val="none" w:sz="0" w:space="0" w:color="auto"/>
        <w:left w:val="none" w:sz="0" w:space="0" w:color="auto"/>
        <w:bottom w:val="none" w:sz="0" w:space="0" w:color="auto"/>
        <w:right w:val="none" w:sz="0" w:space="0" w:color="auto"/>
      </w:divBdr>
    </w:div>
    <w:div w:id="395129137">
      <w:marLeft w:val="0"/>
      <w:marRight w:val="0"/>
      <w:marTop w:val="0"/>
      <w:marBottom w:val="0"/>
      <w:divBdr>
        <w:top w:val="none" w:sz="0" w:space="0" w:color="auto"/>
        <w:left w:val="none" w:sz="0" w:space="0" w:color="auto"/>
        <w:bottom w:val="none" w:sz="0" w:space="0" w:color="auto"/>
        <w:right w:val="none" w:sz="0" w:space="0" w:color="auto"/>
      </w:divBdr>
    </w:div>
    <w:div w:id="395129138">
      <w:marLeft w:val="0"/>
      <w:marRight w:val="0"/>
      <w:marTop w:val="0"/>
      <w:marBottom w:val="0"/>
      <w:divBdr>
        <w:top w:val="none" w:sz="0" w:space="0" w:color="auto"/>
        <w:left w:val="none" w:sz="0" w:space="0" w:color="auto"/>
        <w:bottom w:val="none" w:sz="0" w:space="0" w:color="auto"/>
        <w:right w:val="none" w:sz="0" w:space="0" w:color="auto"/>
      </w:divBdr>
    </w:div>
    <w:div w:id="395129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125</TotalTime>
  <Pages>8</Pages>
  <Words>847</Words>
  <Characters>4834</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153</cp:revision>
  <dcterms:created xsi:type="dcterms:W3CDTF">2020-07-16T02:47:00Z</dcterms:created>
  <dcterms:modified xsi:type="dcterms:W3CDTF">2020-09-30T13:19:00Z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