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卫健</w:t>
      </w:r>
      <w:r>
        <w:rPr>
          <w:rFonts w:hint="eastAsia" w:ascii="方正小标宋简体" w:eastAsia="方正小标宋简体"/>
          <w:sz w:val="44"/>
          <w:szCs w:val="44"/>
        </w:rPr>
        <w:t>部门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2018年重大公共卫生服务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line="700" w:lineRule="exact"/>
        <w:ind w:firstLine="890" w:firstLineChars="250"/>
        <w:jc w:val="left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  <w:lang w:eastAsia="zh-CN"/>
        </w:rPr>
        <w:t>2018年重大公共卫生服务项目</w:t>
      </w:r>
    </w:p>
    <w:p>
      <w:pPr>
        <w:autoSpaceDE w:val="0"/>
        <w:autoSpaceDN w:val="0"/>
        <w:spacing w:line="540" w:lineRule="exact"/>
        <w:ind w:left="2857" w:leftChars="513" w:hanging="1780" w:hangingChars="5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color w:val="auto"/>
          <w:kern w:val="0"/>
          <w:sz w:val="36"/>
          <w:szCs w:val="36"/>
          <w:highlight w:val="none"/>
        </w:rPr>
        <w:t>新疆维吾尔自治区喀什地区卫生健康委员会</w:t>
      </w:r>
    </w:p>
    <w:p>
      <w:pPr>
        <w:autoSpaceDE w:val="0"/>
        <w:autoSpaceDN w:val="0"/>
        <w:spacing w:line="540" w:lineRule="exact"/>
        <w:ind w:firstLine="1424" w:firstLineChars="400"/>
        <w:rPr>
          <w:rFonts w:hint="default" w:ascii="仿宋_GB2312" w:hAnsi="仿宋" w:eastAsia="仿宋_GB2312" w:cs="Times New Roman"/>
          <w:spacing w:val="-2"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  <w:t>地区财政局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3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根据喀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财社[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2018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]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104号文件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《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关于拨付2018年重大公共卫生服务补助资金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（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第二批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的通知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》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喀地财社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[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2018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]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08号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文件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《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关于拨付2018年重大公共卫生服务项目补助资金的通知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立项，旨在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提高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服务对象对预防疾病知识的知晓率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使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项目筛查持续性发展，相关项目工作宣传知识能力可持续发展，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让喀什地区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群众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受益。</w:t>
      </w:r>
    </w:p>
    <w:p>
      <w:pPr>
        <w:pStyle w:val="17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实施前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根据2018年公共卫生专项资金实施方案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进行充分调研，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按照自治区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制定实施方案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进行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，项目实施过程中严格按照实施方案进行实施并及时进行监督管理，项目实施后及时验收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进行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后期维护。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3.项目负责人为刘红，主要职责为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对各县市各级医疗机构2019年重大传染病防控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资金进行分配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和日常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的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督导检查，将2019年重大传染病防控项目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资金分配至各县市。</w:t>
      </w:r>
    </w:p>
    <w:p>
      <w:pPr>
        <w:pStyle w:val="23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119.24万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元，根据喀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财社[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2018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]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104号文件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《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关于拨付2018年重大公共卫生服务补助资金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（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第二批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）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的通知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》，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于2018年10月15日拨付资金113.2万元。根据喀地财社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[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2018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]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08号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文件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《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关于拨付2018年重大公共卫生服务项目补助资金的通知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》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，于2018年10月12号拨付资金6.04万元。其中财政资金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119.24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万元，其他资金0万元，资金到位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119.24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万元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bidi="ar"/>
        </w:rPr>
        <w:t>资金到位率100%。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2018年重大公共卫生服务项目资金的使用范围：地方病防治项目工作经费5万元；结核病防治项目工作经费6.04万元；艾滋病综合防治项目工作经费45万元；妇幼健康行动项目工作经费14万元；预防艾滋病母婴传播项目工作经费5万元；儿童口服综合干预项目项目工作经费0.2万元；</w:t>
      </w:r>
    </w:p>
    <w:p>
      <w:pPr>
        <w:spacing w:before="156" w:beforeLines="50" w:line="600" w:lineRule="exact"/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中央补助地区计划生育事业费项目工作经费30万元；卫生监督管理项目工作经费14万元。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 w:bidi="ar"/>
        </w:rPr>
        <w:t>喀什地区卫健委制定了项目资金管理办法，按照喀财社[2018]104号和喀地财社[2018]108号文件进行使用。</w:t>
      </w:r>
    </w:p>
    <w:p>
      <w:pPr>
        <w:pStyle w:val="23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总体目标为：计划完成重大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数量≥8项，对结核病防治项目实施情况进行督导考核≥4次/年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对地方病、精神疾病和慢性病防治项目进行督导考核数据汇总上报工作≥4次/年，对全地区开展艾滋病综合防治工作考核评估≥3次/年，对妇幼卫生监测工作完成情况进行督导检查≥2次/年，对各县市预防艾滋病、梅毒、和乙肝母婴阻断工作督导检查≥3次/年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2018年重大公共卫生服务项目需经费119.24万元。服务对象对预防疾病知识的知晓率逐步提升，项目筛查持续性可持续发展，持续相关项目工作宣传知识能力可持续发展，受益群众满意度≥80%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23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个，绩效目标申报表详见附件1。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实施前期、过程及效果，评价财政预算资金使用的效率及效益。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2018年重大公共卫生服务项目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</w:t>
      </w:r>
      <w:r>
        <w:rPr>
          <w:rFonts w:hint="eastAsia"/>
          <w:b w:val="0"/>
          <w:color w:val="auto"/>
          <w:lang w:bidi="ar"/>
        </w:rPr>
        <w:t>评价体系为根据财预</w:t>
      </w:r>
      <w:r>
        <w:rPr>
          <w:rFonts w:hint="eastAsia" w:ascii="仿宋" w:hAnsi="仿宋" w:eastAsia="仿宋"/>
          <w:b w:val="0"/>
          <w:color w:val="auto"/>
          <w:lang w:bidi="ar"/>
        </w:rPr>
        <w:t>﹝</w:t>
      </w:r>
      <w:r>
        <w:rPr>
          <w:rFonts w:hint="eastAsia"/>
          <w:b w:val="0"/>
          <w:color w:val="auto"/>
          <w:lang w:bidi="ar"/>
        </w:rPr>
        <w:t>2</w:t>
      </w:r>
      <w:r>
        <w:rPr>
          <w:b w:val="0"/>
          <w:color w:val="auto"/>
          <w:lang w:bidi="ar"/>
        </w:rPr>
        <w:t>020</w:t>
      </w:r>
      <w:r>
        <w:rPr>
          <w:rFonts w:hint="eastAsia" w:ascii="仿宋" w:hAnsi="仿宋" w:eastAsia="仿宋"/>
          <w:b w:val="0"/>
          <w:color w:val="auto"/>
          <w:lang w:bidi="ar"/>
        </w:rPr>
        <w:t>﹞</w:t>
      </w:r>
      <w:r>
        <w:rPr>
          <w:rFonts w:hint="eastAsia"/>
          <w:b w:val="0"/>
          <w:color w:val="auto"/>
          <w:lang w:bidi="ar"/>
        </w:rPr>
        <w:t>1</w:t>
      </w:r>
      <w:r>
        <w:rPr>
          <w:b w:val="0"/>
          <w:color w:val="auto"/>
          <w:lang w:bidi="ar"/>
        </w:rPr>
        <w:t>0</w:t>
      </w:r>
      <w:r>
        <w:rPr>
          <w:rFonts w:hint="eastAsia"/>
          <w:b w:val="0"/>
          <w:color w:val="auto"/>
          <w:lang w:bidi="ar"/>
        </w:rPr>
        <w:t>号共性指标及个性化指标设置，详见附件2。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本次绩效评价方法的选用坚持简便有效的原则采用成本效益分析法、比较法、因素分析法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、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专家评议法、问卷调查法、综合分析法。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行业标准、历史标</w:t>
      </w:r>
      <w:r>
        <w:rPr>
          <w:rFonts w:hint="eastAsia"/>
          <w:bCs w:val="0"/>
          <w:color w:val="auto"/>
        </w:rPr>
        <w:t>准</w:t>
      </w:r>
      <w:r>
        <w:rPr>
          <w:rFonts w:hint="eastAsia"/>
          <w:bCs w:val="0"/>
          <w:color w:val="auto"/>
          <w:lang w:eastAsia="zh-CN"/>
        </w:rPr>
        <w:t>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刘红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科室负责人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杨红建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阿力木江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科员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FF0000"/>
          <w:highlight w:val="none"/>
          <w:lang w:bidi="ar"/>
        </w:rPr>
      </w:pPr>
      <w:bookmarkStart w:id="7" w:name="_Toc26401558"/>
      <w:r>
        <w:rPr>
          <w:rFonts w:hint="eastAsia" w:ascii="黑体" w:hAnsi="黑体"/>
          <w:highlight w:val="none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99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分，评价结果为优详见附件4。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本项目的立项符合相关法规政策及部门职责，依据充分；项目按照规定的程序申请设立；审批文件、材料符合相关要求；项目前期已经过必要的可行性研究、绩效评估。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计划完成重大公共卫生项目数量，预期指标是≥8项，实际完成值是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8项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对结核病防治项目实施情况进行督导考核，预期指标是≥4次/年，实际完成值是4次/年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对地方病、精神疾病和慢性病防治项目进行督导考核数据汇总上报次数，预期指标是≥4次/年，实际完成值是4次/年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对妇幼卫生监测工作完成情况进行督导检查，预期指标是≥2次/年，实际完成值是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2次/年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对各县市预防艾滋病、梅毒、和乙肝母婴阻断工作督导检查，预期指标是≥3次/年，实际完成值是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3次/年项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对全地区开展艾滋病综合防治工作考核评估≥3次/年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预期指标是≥3次/年，实际完成值是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3次/年项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人员覆盖率（%），预期指标是≥80%，实际完成值是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检查合格率（%），预期指标是≥80%，实际完成值是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督导检查执行率（%），预期指标是≥80%，实际完成值是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ind w:firstLine="640" w:firstLineChars="200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  <w:t>项目产出质量为督导检查执行率（%），预期指标是≥80%，实际完成值是80%，指标达到预期目标。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对各县市预防艾滋病、梅毒、和乙肝母婴阻断工作督导检查按期完成率及时率(%)，预期指标是≥80%，实际完成值是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0%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对结核病防治项目实施情况进行督导考核按期完成率及时率(%)，预期指标是≥85%，实际完成值是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地方病防治项目工作经费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结核病防治项目工作经费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6.04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6.04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艾滋病综合防治项目工作经费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妇幼健康行动项目工作经费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预防艾滋病母婴传播项目工作经费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儿童口服综合干预项目项目工作经费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0.2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0.2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中央补助地区计划生育事业费项目工作经费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卫生监督管理项目工作经费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（万元），预期指标是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万元，实际完成值是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6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服务对象对预防疾病知识的知晓率逐步提升，实际完成值是逐步提升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highlight w:val="none"/>
        </w:rPr>
        <w:t>提高在职地厅级领导干部健康指标，更好完善后勤保障，预期指标是有效提升，实际完成值是有效提升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</w:t>
      </w: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查，项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目收益群众满意度为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ind w:firstLine="584" w:firstLineChars="200"/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highlight w:val="none"/>
        </w:rPr>
        <w:t>项目筛查持续性，预期指标是持续发展，实际完成值是持续发展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，达到预期目标。</w:t>
      </w:r>
    </w:p>
    <w:p>
      <w:pPr>
        <w:ind w:firstLine="584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highlight w:val="none"/>
        </w:rPr>
        <w:t>持续相关项目工作宣传知识能力持续性，预期指标是持续发展，实际完成值是持续发展，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达到预期目标。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本项目实施效果较好的原因主要是管理制度完善、责任落实到位，跟踪考核机制完善且运行有效，在项目实施过程中创新管理办法，采用分析比较，实地检查的方式使项目取得了2018年重大公共卫生服务项目良好的效果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spacing w:before="156" w:beforeLines="50" w:line="600" w:lineRule="exact"/>
        <w:ind w:firstLine="42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一是对各项指标和指标值要进一步优化、完善，主要在细化、量化上改进。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 xml:space="preserve">二是自评价工作还存在自我审定的局限性，会影响评价质量，容易造成问题的疏漏，在客观性和公正性上说服力不强。 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三是缺少带着问题去评价的意识，四是现场评价的工作量少，后续效益评价具体措施和方法较少。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今后我单位会注重结果导向、强调成本效益、硬化责任约束，不断加强绩效管理队伍建设，提升业务素质，提高预算管理水平和政策实施效果，实现预算和绩效管理，着力提高财政资源配置效率和使用效益，全面提升我单位服务水</w:t>
      </w:r>
      <w:bookmarkStart w:id="8" w:name="_GoBack"/>
      <w:bookmarkEnd w:id="8"/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平。</w:t>
      </w:r>
    </w:p>
    <w:p>
      <w:pPr>
        <w:pStyle w:val="21"/>
        <w:numPr>
          <w:ilvl w:val="0"/>
          <w:numId w:val="2"/>
        </w:numPr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黑体" w:hAnsi="黑体"/>
        </w:rPr>
        <w:t>其他需要说明的问题</w:t>
      </w:r>
    </w:p>
    <w:p>
      <w:pPr>
        <w:pStyle w:val="21"/>
        <w:numPr>
          <w:ilvl w:val="0"/>
          <w:numId w:val="0"/>
        </w:numPr>
        <w:ind w:left="643" w:leftChars="0"/>
        <w:rPr>
          <w:rFonts w:hint="eastAsia" w:ascii="仿宋_GB2312" w:hAnsi="仿宋" w:eastAsia="仿宋_GB2312" w:cs="宋体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kern w:val="2"/>
          <w:sz w:val="32"/>
          <w:szCs w:val="32"/>
          <w:lang w:val="en-US" w:eastAsia="zh-CN" w:bidi="ar"/>
        </w:rPr>
        <w:t>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喀什地区卫健委2018年重大公共卫生服务项目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喀什地区卫健委2018年重大公共卫生服务项目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支出绩效目标表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喀什地区卫健委2018年重大公共卫生服务项目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卫健委2018年重大公共卫生服务项目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卫健委2018年重大公共卫生服务项目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F780164"/>
    <w:rsid w:val="15A60699"/>
    <w:rsid w:val="212653C4"/>
    <w:rsid w:val="217F35A7"/>
    <w:rsid w:val="24E73B1F"/>
    <w:rsid w:val="26F03C06"/>
    <w:rsid w:val="2A547683"/>
    <w:rsid w:val="3AEA7116"/>
    <w:rsid w:val="46202613"/>
    <w:rsid w:val="539724DA"/>
    <w:rsid w:val="53D86F37"/>
    <w:rsid w:val="57964064"/>
    <w:rsid w:val="59FE5750"/>
    <w:rsid w:val="667765BF"/>
    <w:rsid w:val="689A3D79"/>
    <w:rsid w:val="6A9A4186"/>
    <w:rsid w:val="7775238E"/>
    <w:rsid w:val="78C954D1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4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字符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2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字符"/>
    <w:basedOn w:val="14"/>
    <w:link w:val="2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1</TotalTime>
  <ScaleCrop>false</ScaleCrop>
  <LinksUpToDate>false</LinksUpToDate>
  <CharactersWithSpaces>6006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Apple</cp:lastModifiedBy>
  <dcterms:modified xsi:type="dcterms:W3CDTF">2020-09-09T04:42:38Z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