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6" w:beforeLines="50"/>
        <w:jc w:val="center"/>
        <w:textAlignment w:val="auto"/>
        <w:rPr>
          <w:rFonts w:hint="eastAsia" w:ascii="方正小标宋简体" w:eastAsia="方正小标宋简体"/>
          <w:sz w:val="44"/>
          <w:szCs w:val="44"/>
        </w:rPr>
      </w:pPr>
      <w:bookmarkStart w:id="8" w:name="_GoBack"/>
      <w:bookmarkEnd w:id="8"/>
    </w:p>
    <w:p>
      <w:pPr>
        <w:keepNext w:val="0"/>
        <w:keepLines w:val="0"/>
        <w:pageBreakBefore w:val="0"/>
        <w:widowControl w:val="0"/>
        <w:kinsoku/>
        <w:wordWrap/>
        <w:overflowPunct/>
        <w:topLinePunct w:val="0"/>
        <w:autoSpaceDE/>
        <w:autoSpaceDN/>
        <w:bidi w:val="0"/>
        <w:adjustRightInd/>
        <w:snapToGrid/>
        <w:spacing w:before="156" w:beforeLines="50"/>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before="156" w:beforeLines="50"/>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eastAsia="zh-CN"/>
        </w:rPr>
        <w:t>中心血站</w:t>
      </w:r>
      <w:r>
        <w:rPr>
          <w:rFonts w:hint="eastAsia" w:ascii="方正小标宋简体" w:eastAsia="方正小标宋简体"/>
          <w:sz w:val="44"/>
          <w:szCs w:val="44"/>
        </w:rPr>
        <w:t>部门</w:t>
      </w:r>
      <w:r>
        <w:rPr>
          <w:rFonts w:hint="eastAsia" w:ascii="黑体" w:hAnsi="黑体" w:eastAsia="黑体" w:cs="Times New Roman"/>
          <w:sz w:val="44"/>
          <w:szCs w:val="44"/>
          <w:lang w:eastAsia="zh-CN"/>
        </w:rPr>
        <w:t>公共医疗安全力</w:t>
      </w:r>
      <w:r>
        <w:rPr>
          <w:rFonts w:hint="eastAsia" w:ascii="黑体" w:hAnsi="黑体" w:eastAsia="黑体" w:cs="Times New Roman"/>
          <w:sz w:val="44"/>
          <w:szCs w:val="44"/>
          <w:lang w:val="en-US" w:eastAsia="zh-CN"/>
        </w:rPr>
        <w:t xml:space="preserve">   </w:t>
      </w:r>
      <w:r>
        <w:rPr>
          <w:rFonts w:hint="eastAsia" w:ascii="黑体" w:hAnsi="黑体" w:eastAsia="黑体" w:cs="Times New Roman"/>
          <w:sz w:val="44"/>
          <w:szCs w:val="44"/>
          <w:lang w:eastAsia="zh-CN"/>
        </w:rPr>
        <w:t>提升保障运行</w:t>
      </w:r>
      <w:r>
        <w:rPr>
          <w:rFonts w:hint="eastAsia" w:ascii="方正小标宋简体" w:eastAsia="方正小标宋简体"/>
          <w:sz w:val="44"/>
          <w:szCs w:val="44"/>
        </w:rPr>
        <w:t>项目支出绩效评价报告</w:t>
      </w:r>
    </w:p>
    <w:p>
      <w:pPr>
        <w:pStyle w:val="2"/>
        <w:jc w:val="center"/>
        <w:rPr>
          <w:rFonts w:ascii="方正小标宋简体" w:eastAsia="方正小标宋简体"/>
          <w:sz w:val="52"/>
          <w:szCs w:val="52"/>
        </w:rPr>
      </w:pPr>
    </w:p>
    <w:p/>
    <w:p>
      <w:pPr>
        <w:spacing w:before="156" w:beforeLines="50"/>
        <w:jc w:val="both"/>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项目名称：</w:t>
      </w:r>
      <w:r>
        <w:rPr>
          <w:rFonts w:hint="eastAsia" w:ascii="仿宋_GB2312" w:hAnsi="仿宋" w:eastAsia="仿宋_GB2312" w:cs="Times New Roman"/>
          <w:spacing w:val="-2"/>
          <w:sz w:val="36"/>
          <w:szCs w:val="36"/>
          <w:lang w:eastAsia="zh-CN"/>
        </w:rPr>
        <w:t>公共医疗安全能力提升保障运行项目</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（公章）</w:t>
      </w:r>
      <w:r>
        <w:rPr>
          <w:rFonts w:hint="eastAsia" w:ascii="仿宋_GB2312" w:hAnsi="仿宋" w:eastAsia="仿宋_GB2312" w:cs="Times New Roman"/>
          <w:spacing w:val="-2"/>
          <w:sz w:val="36"/>
          <w:szCs w:val="36"/>
        </w:rPr>
        <w:t>：喀什地区</w:t>
      </w:r>
      <w:r>
        <w:rPr>
          <w:rFonts w:hint="eastAsia" w:ascii="仿宋_GB2312" w:hAnsi="仿宋" w:eastAsia="仿宋_GB2312" w:cs="Times New Roman"/>
          <w:spacing w:val="-2"/>
          <w:sz w:val="36"/>
          <w:szCs w:val="36"/>
          <w:lang w:eastAsia="zh-CN"/>
        </w:rPr>
        <w:t>中心血站</w:t>
      </w:r>
    </w:p>
    <w:p>
      <w:pPr>
        <w:autoSpaceDE w:val="0"/>
        <w:autoSpaceDN w:val="0"/>
        <w:spacing w:line="540" w:lineRule="exact"/>
        <w:ind w:firstLine="712" w:firstLineChars="2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w:t>
      </w:r>
      <w:r>
        <w:rPr>
          <w:rFonts w:hint="eastAsia" w:ascii="仿宋_GB2312" w:hAnsi="仿宋" w:eastAsia="仿宋_GB2312" w:cs="Times New Roman"/>
          <w:spacing w:val="-2"/>
          <w:sz w:val="36"/>
          <w:szCs w:val="36"/>
          <w:lang w:eastAsia="zh-CN"/>
        </w:rPr>
        <w:t>中心血站</w:t>
      </w:r>
    </w:p>
    <w:p>
      <w:pPr>
        <w:autoSpaceDE w:val="0"/>
        <w:autoSpaceDN w:val="0"/>
        <w:spacing w:line="540" w:lineRule="exact"/>
        <w:ind w:firstLine="712" w:firstLineChars="200"/>
        <w:rPr>
          <w:rFonts w:hint="eastAsia" w:ascii="仿宋_GB2312" w:hAnsi="仿宋" w:eastAsia="仿宋_GB2312" w:cs="Times New Roman"/>
          <w:spacing w:val="-2"/>
          <w:sz w:val="36"/>
          <w:szCs w:val="36"/>
        </w:rPr>
      </w:pPr>
    </w:p>
    <w:p>
      <w:pPr>
        <w:autoSpaceDE w:val="0"/>
        <w:autoSpaceDN w:val="0"/>
        <w:spacing w:line="540" w:lineRule="exact"/>
        <w:rPr>
          <w:rFonts w:hint="eastAsia" w:ascii="仿宋_GB2312" w:hAnsi="仿宋" w:eastAsia="仿宋_GB2312" w:cs="Times New Roman"/>
          <w:spacing w:val="-2"/>
          <w:sz w:val="36"/>
          <w:szCs w:val="36"/>
        </w:rPr>
      </w:pPr>
    </w:p>
    <w:p>
      <w:pPr>
        <w:pStyle w:val="2"/>
        <w:rPr>
          <w:rFonts w:hint="eastAsia"/>
        </w:rPr>
      </w:pPr>
    </w:p>
    <w:p>
      <w:pPr>
        <w:autoSpaceDE w:val="0"/>
        <w:autoSpaceDN w:val="0"/>
        <w:spacing w:line="540" w:lineRule="exact"/>
        <w:ind w:firstLine="2848" w:firstLineChars="800"/>
        <w:rPr>
          <w:rFonts w:hint="eastAsia"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56" w:beforeLines="50" w:line="0" w:lineRule="atLeast"/>
        <w:jc w:val="left"/>
        <w:rPr>
          <w:sz w:val="28"/>
          <w:szCs w:val="28"/>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spacing w:before="156" w:beforeLines="50" w:after="156" w:afterLines="50" w:line="600" w:lineRule="exact"/>
        <w:jc w:val="center"/>
        <w:rPr>
          <w:rFonts w:hint="eastAsia" w:ascii="方正小标宋简体" w:hAnsi="仿宋_GB2312" w:eastAsia="方正小标宋简体" w:cs="仿宋_GB2312"/>
          <w:color w:val="FF0000"/>
          <w:kern w:val="0"/>
          <w:sz w:val="44"/>
          <w:szCs w:val="44"/>
          <w:shd w:val="clear" w:color="auto" w:fill="FFFFFF"/>
          <w:lang w:bidi="ar"/>
        </w:rPr>
      </w:pPr>
    </w:p>
    <w:p>
      <w:pPr>
        <w:pStyle w:val="21"/>
        <w:numPr>
          <w:ilvl w:val="0"/>
          <w:numId w:val="2"/>
        </w:numPr>
        <w:ind w:firstLineChars="0"/>
        <w:rPr>
          <w:lang w:bidi="ar"/>
        </w:rPr>
      </w:pPr>
      <w:r>
        <w:rPr>
          <w:rFonts w:hint="eastAsia"/>
          <w:lang w:bidi="ar"/>
        </w:rPr>
        <w:t>基本情况</w:t>
      </w:r>
    </w:p>
    <w:p>
      <w:pPr>
        <w:pStyle w:val="23"/>
        <w:ind w:left="0" w:firstLine="643" w:firstLineChars="200"/>
        <w:rPr>
          <w:lang w:bidi="ar"/>
        </w:rPr>
      </w:pPr>
      <w:bookmarkStart w:id="0" w:name="_Toc26401549"/>
      <w:r>
        <w:rPr>
          <w:rFonts w:hint="eastAsia"/>
          <w:lang w:bidi="ar"/>
        </w:rPr>
        <w:t>项目概况</w:t>
      </w:r>
      <w:bookmarkEnd w:id="0"/>
    </w:p>
    <w:p>
      <w:pPr>
        <w:pStyle w:val="17"/>
        <w:numPr>
          <w:ilvl w:val="0"/>
          <w:numId w:val="3"/>
        </w:numPr>
        <w:spacing w:before="156"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本项目是根据我站基本情况，根据自治区实施《中华人民共和国献血法》若干规定，（2000年9月22日自治区九届人大常委会第十八次会议通过）。自治区实施《中华人民共和国献血法》若干规定，第六条：无偿献血的公民，凭国务院卫生行政部门制作的无偿献血证书用血，享有下列用血权利。献血者自献血之日起5年内不限量免费用血，献血累计达800毫升以上的终身免费用血，献血者的配偶和直系亲属按其献血量等量免费用血。自治区实施《中华人民共和国献血法》若干规定，第七条：下列公民需要临床用血的，需到所在地献血机构办理用血证明，并交纳临床用血费和两倍于临床用血费的用血互助金。自治区实施《中华人民共和国献血法》若干规定，第八条：本规定第七条第一款所列公民临床用血后，符合下列条件之一的，献血管理机构应当及时退还公民缴纳的用血互助金。（一）其所在单位在规定期限内完成年度献血任务的。（二）本人或者其配偶和直系亲属在规定期限内献血的。（三）本人或者其配偶和直系亲属均因年龄或者健康状况不符合献血条件的。 自治区实施《中华人民共和国献血法》若干规定，第十二条，血站必须严格执行国家法律，法规的规定，健全规章制度，严格遵守操作规章制度，以保证采血、供血的安全，根据“喀什地区中心血站2020年部门预算”申请立项，符合国家、自治区、喀什地区以及我院等相关政策、规划和法律法规。</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）立项背景</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为满足不断增强的广大人民群众健康服务需求及自治区实施《中华人民共和国献血法》若干规定，（2000年9月22日自治区九届人大常委会第十八次会议通过）。为提升医院综合服务能力，根据若干规定第七条，第八条，第九条，第十条，第十一条，第十二条规定，按照法律规定收用血互助金，退回用血互助金。按照《血站质量管理规范》17条，血液采集，血液保存、发放与运输的要求，特别是17.1.4“根据储存要求将不同品种和不同血型的血液分开存放并有明显标识”。兼顾考虑节电、专用材料费（试剂、耗材）、存储取用方便的原则，保障喀什地区中心血站顺利开展各项业务活动，并且保障单位正常运转设立了血站保障运行支出项目。</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（3）实施主体</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喀什地区中心血站公共医疗安全能力提升保障运行支出项目主要涉及喀什地区中心血站、单位职责如下：</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主要责任单位为喀什地区中心血站，喀什地区中心血站成立于1993年，隶属于喀什地区卫生与健康委员会，单位性质属于全额事业单位，主要职能:无偿献血者招募、血液的采集与制备、临床用血供应及医疗用血业务指导。</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机构情况:我站属于正科级单位，本站根据业务管理需要单位自行设置了行政办公室、财务科、检验科、质控科、献血服务科、免费体检中心、供血科、莎车分站综合科共八个业务科室。</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val="en-US" w:eastAsia="zh-CN"/>
        </w:rPr>
        <w:t>人员情况:编制34人，按照编委文件填报，年初实有在职职工32人，本年1月退休1人,本年末实有在职人数31人，负责项目的具体实施完成。项目负责人：阿孜古丽（喀什地区中心血站副站长），鲁爱军（质量主管），如斯坦木（单位会计）。</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项目主要内容及实施情况</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    项目的主要内容为：本项目的主管部门为</w:t>
      </w:r>
      <w:r>
        <w:rPr>
          <w:rFonts w:hint="eastAsia" w:ascii="仿宋" w:hAnsi="仿宋" w:eastAsia="仿宋" w:cs="仿宋"/>
          <w:sz w:val="32"/>
          <w:szCs w:val="32"/>
          <w:lang w:val="en-US" w:eastAsia="zh-CN"/>
        </w:rPr>
        <w:t>喀什地区卫健委</w:t>
      </w:r>
      <w:r>
        <w:rPr>
          <w:rFonts w:hint="eastAsia" w:ascii="仿宋" w:hAnsi="仿宋" w:eastAsia="仿宋" w:cs="仿宋"/>
          <w:sz w:val="32"/>
          <w:szCs w:val="32"/>
          <w:lang w:eastAsia="zh-CN"/>
        </w:rPr>
        <w:t>,实施单位为喀什地区中心血站，主要职责</w:t>
      </w:r>
      <w:r>
        <w:rPr>
          <w:rFonts w:hint="eastAsia" w:ascii="仿宋" w:hAnsi="仿宋" w:eastAsia="仿宋" w:cs="仿宋"/>
          <w:sz w:val="32"/>
          <w:szCs w:val="32"/>
          <w:lang w:val="en-US" w:eastAsia="zh-CN"/>
        </w:rPr>
        <w:t>无偿献血者招募、血液的采集与制备、临床用血供应及医疗用血业务指导。</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项目的实施情况：本项目自</w:t>
      </w:r>
      <w:r>
        <w:rPr>
          <w:rFonts w:hint="eastAsia" w:ascii="仿宋" w:hAnsi="仿宋" w:eastAsia="仿宋" w:cs="仿宋"/>
          <w:sz w:val="32"/>
          <w:szCs w:val="32"/>
          <w:lang w:val="en-US" w:eastAsia="zh-CN"/>
        </w:rPr>
        <w:t>2019</w:t>
      </w: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日经本级财政文件批复，经我站党支部会议，确定了项目领导小组，明确了责任分工：喀什地区中心血站高度重视保障运行支出项目，成立绩效自评工作领导小组。</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组长：阿孜姑丽  财务分管领导  项目负责人 ：鲁爱军全盘统筹绩效自评工作。</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副组长：鲁爱军 组织实施项目 日常监督管理。</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zh-TW" w:eastAsia="zh-TW"/>
        </w:rPr>
        <w:t>组员：</w:t>
      </w:r>
      <w:r>
        <w:rPr>
          <w:rFonts w:hint="eastAsia" w:ascii="仿宋" w:hAnsi="仿宋" w:eastAsia="仿宋" w:cs="仿宋"/>
          <w:sz w:val="32"/>
          <w:szCs w:val="32"/>
          <w:lang w:val="zh-TW" w:eastAsia="zh-CN"/>
        </w:rPr>
        <w:t>侯燕</w:t>
      </w:r>
      <w:r>
        <w:rPr>
          <w:rFonts w:hint="eastAsia" w:ascii="仿宋" w:hAnsi="仿宋" w:eastAsia="仿宋" w:cs="仿宋"/>
          <w:sz w:val="32"/>
          <w:szCs w:val="32"/>
          <w:lang w:val="zh-TW" w:eastAsia="zh-TW"/>
        </w:rPr>
        <w:t xml:space="preserve"> </w:t>
      </w:r>
      <w:r>
        <w:rPr>
          <w:rFonts w:hint="eastAsia" w:ascii="仿宋" w:hAnsi="仿宋" w:eastAsia="仿宋" w:cs="仿宋"/>
          <w:sz w:val="32"/>
          <w:szCs w:val="32"/>
          <w:lang w:val="zh-TW" w:eastAsia="zh-CN"/>
        </w:rPr>
        <w:t>采购</w:t>
      </w:r>
      <w:r>
        <w:rPr>
          <w:rFonts w:hint="eastAsia" w:ascii="仿宋" w:hAnsi="仿宋" w:eastAsia="仿宋" w:cs="仿宋"/>
          <w:sz w:val="32"/>
          <w:szCs w:val="32"/>
          <w:lang w:val="zh-TW" w:eastAsia="zh-TW"/>
        </w:rPr>
        <w:t>办公室和</w:t>
      </w:r>
      <w:r>
        <w:rPr>
          <w:rFonts w:hint="eastAsia" w:ascii="仿宋" w:hAnsi="仿宋" w:eastAsia="仿宋" w:cs="仿宋"/>
          <w:sz w:val="32"/>
          <w:szCs w:val="32"/>
          <w:lang w:val="zh-TW" w:eastAsia="zh-CN"/>
        </w:rPr>
        <w:t>检验</w:t>
      </w:r>
      <w:r>
        <w:rPr>
          <w:rFonts w:hint="eastAsia" w:ascii="仿宋" w:hAnsi="仿宋" w:eastAsia="仿宋" w:cs="仿宋"/>
          <w:sz w:val="32"/>
          <w:szCs w:val="32"/>
          <w:lang w:val="zh-TW" w:eastAsia="zh-TW"/>
        </w:rPr>
        <w:t xml:space="preserve">科主任 </w:t>
      </w:r>
      <w:r>
        <w:rPr>
          <w:rFonts w:hint="eastAsia" w:ascii="仿宋" w:hAnsi="仿宋" w:eastAsia="仿宋" w:cs="仿宋"/>
          <w:sz w:val="32"/>
          <w:szCs w:val="32"/>
          <w:lang w:val="zh-TW" w:eastAsia="zh-CN"/>
        </w:rPr>
        <w:t>张力</w:t>
      </w:r>
      <w:r>
        <w:rPr>
          <w:rFonts w:hint="eastAsia" w:ascii="仿宋" w:hAnsi="仿宋" w:eastAsia="仿宋" w:cs="仿宋"/>
          <w:sz w:val="32"/>
          <w:szCs w:val="32"/>
          <w:lang w:val="zh-TW" w:eastAsia="zh-TW"/>
        </w:rPr>
        <w:t xml:space="preserve"> 纪检干部 监督管理</w:t>
      </w:r>
      <w:r>
        <w:rPr>
          <w:rFonts w:hint="eastAsia" w:ascii="仿宋" w:hAnsi="仿宋" w:eastAsia="仿宋" w:cs="仿宋"/>
          <w:sz w:val="32"/>
          <w:szCs w:val="32"/>
          <w:lang w:val="zh-TW" w:eastAsia="zh-CN"/>
        </w:rPr>
        <w:t>，</w:t>
      </w:r>
      <w:r>
        <w:rPr>
          <w:rFonts w:hint="eastAsia" w:ascii="仿宋" w:hAnsi="仿宋" w:eastAsia="仿宋" w:cs="仿宋"/>
          <w:sz w:val="32"/>
          <w:szCs w:val="32"/>
          <w:lang w:val="zh-TW" w:eastAsia="zh-TW"/>
        </w:rPr>
        <w:t xml:space="preserve"> 刘英 财务 财务绩效管理</w:t>
      </w:r>
      <w:r>
        <w:rPr>
          <w:rFonts w:hint="eastAsia" w:ascii="仿宋" w:hAnsi="仿宋" w:eastAsia="仿宋" w:cs="仿宋"/>
          <w:sz w:val="32"/>
          <w:szCs w:val="32"/>
          <w:lang w:val="en-US" w:eastAsia="zh-CN"/>
        </w:rPr>
        <w:t>。</w:t>
      </w:r>
    </w:p>
    <w:p>
      <w:pPr>
        <w:spacing w:before="156" w:beforeLines="50" w:line="600" w:lineRule="exact"/>
        <w:ind w:firstLine="645"/>
        <w:rPr>
          <w:rFonts w:hint="eastAsia" w:ascii="仿宋" w:hAnsi="仿宋" w:eastAsia="仿宋" w:cs="仿宋"/>
          <w:sz w:val="32"/>
          <w:szCs w:val="32"/>
          <w:lang w:eastAsia="zh-CN"/>
        </w:rPr>
      </w:pPr>
    </w:p>
    <w:p>
      <w:pPr>
        <w:spacing w:before="156" w:beforeLines="50" w:line="600" w:lineRule="exact"/>
        <w:ind w:firstLine="645"/>
        <w:rPr>
          <w:rFonts w:hint="eastAsia" w:ascii="仿宋" w:hAnsi="仿宋" w:eastAsia="仿宋" w:cs="仿宋"/>
          <w:b/>
          <w:bCs/>
          <w:sz w:val="32"/>
          <w:szCs w:val="32"/>
          <w:lang w:eastAsia="zh-CN"/>
        </w:rPr>
      </w:pPr>
      <w:bookmarkStart w:id="1" w:name="_Toc26401550"/>
      <w:r>
        <w:rPr>
          <w:rFonts w:hint="eastAsia" w:ascii="仿宋" w:hAnsi="仿宋" w:eastAsia="仿宋" w:cs="仿宋"/>
          <w:b/>
          <w:bCs/>
          <w:sz w:val="32"/>
          <w:szCs w:val="32"/>
          <w:lang w:eastAsia="zh-CN"/>
        </w:rPr>
        <w:t>（二）资金</w:t>
      </w:r>
      <w:bookmarkEnd w:id="1"/>
      <w:r>
        <w:rPr>
          <w:rFonts w:hint="eastAsia" w:ascii="仿宋" w:hAnsi="仿宋" w:eastAsia="仿宋" w:cs="仿宋"/>
          <w:b/>
          <w:bCs/>
          <w:sz w:val="32"/>
          <w:szCs w:val="32"/>
          <w:lang w:eastAsia="zh-CN"/>
        </w:rPr>
        <w:t>投入和使用情况</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项目资金情况包括项目预算、资金组成以及预算执行、结果等；</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本项目总投资</w:t>
      </w:r>
      <w:r>
        <w:rPr>
          <w:rFonts w:hint="eastAsia" w:ascii="仿宋" w:hAnsi="仿宋" w:eastAsia="仿宋" w:cs="仿宋"/>
          <w:sz w:val="32"/>
          <w:szCs w:val="32"/>
          <w:lang w:val="en-US" w:eastAsia="zh-CN"/>
        </w:rPr>
        <w:t>1600万</w:t>
      </w:r>
      <w:r>
        <w:rPr>
          <w:rFonts w:hint="eastAsia" w:ascii="仿宋" w:hAnsi="仿宋" w:eastAsia="仿宋" w:cs="仿宋"/>
          <w:sz w:val="32"/>
          <w:szCs w:val="32"/>
          <w:lang w:eastAsia="zh-CN"/>
        </w:rPr>
        <w:t>元，资金来源为本级部门预算、项目资金的使用范围：喀什地区中心血站制定了公共医疗安全能力提升项目-保障运行支出项目实施方案</w:t>
      </w:r>
    </w:p>
    <w:p>
      <w:pPr>
        <w:spacing w:before="156" w:beforeLines="50" w:line="600" w:lineRule="exact"/>
        <w:ind w:firstLine="643" w:firstLineChars="200"/>
        <w:rPr>
          <w:rFonts w:hint="eastAsia" w:ascii="仿宋" w:hAnsi="仿宋" w:eastAsia="仿宋" w:cs="仿宋"/>
          <w:b/>
          <w:bCs/>
          <w:sz w:val="32"/>
          <w:szCs w:val="32"/>
          <w:lang w:eastAsia="zh-CN"/>
        </w:rPr>
      </w:pPr>
      <w:bookmarkStart w:id="2" w:name="_Toc26401551"/>
      <w:r>
        <w:rPr>
          <w:rFonts w:hint="eastAsia" w:ascii="仿宋" w:hAnsi="仿宋" w:eastAsia="仿宋" w:cs="仿宋"/>
          <w:b/>
          <w:bCs/>
          <w:sz w:val="32"/>
          <w:szCs w:val="32"/>
          <w:lang w:eastAsia="zh-CN"/>
        </w:rPr>
        <w:t>（三）绩效目标</w:t>
      </w:r>
      <w:bookmarkEnd w:id="2"/>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eastAsia="zh-CN"/>
        </w:rPr>
        <w:t>总体目标为：</w:t>
      </w:r>
      <w:r>
        <w:rPr>
          <w:rFonts w:hint="eastAsia" w:ascii="仿宋" w:hAnsi="仿宋" w:eastAsia="仿宋" w:cs="仿宋"/>
          <w:sz w:val="32"/>
          <w:szCs w:val="32"/>
          <w:lang w:val="en-US" w:eastAsia="zh-CN"/>
        </w:rPr>
        <w:t>1、我站物业管理数量4处，年采血人次达到140000人次以上，年临床供血量达到50000单位以上。</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2、采供血耗材购买率达到90%以上，完成支出成本耗材率达到90%以上，资金拨付到位率达到90%以上，审核无偿献血人群用血报销正确率达到95%以上。</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3、采供血物料供应及时率达到15天内入库。</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4、业务经费支出额、专用材料支出额、退血费及用血互助金支出额和维修（护）费支出额合计不超过1622.49万元。</w:t>
      </w:r>
    </w:p>
    <w:p>
      <w:pPr>
        <w:spacing w:before="156" w:beforeLines="50" w:line="600" w:lineRule="exact"/>
        <w:ind w:firstLine="645"/>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5、喀什地区临床用血保障率达到90%以上。</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val="en-US" w:eastAsia="zh-CN"/>
        </w:rPr>
        <w:t>6、为全地区各医院及时提供安全血液，献血者中满意率达到95%以上。</w:t>
      </w:r>
      <w:r>
        <w:rPr>
          <w:rFonts w:hint="eastAsia" w:ascii="仿宋" w:hAnsi="仿宋" w:eastAsia="仿宋" w:cs="仿宋"/>
          <w:sz w:val="32"/>
          <w:szCs w:val="32"/>
          <w:lang w:eastAsia="zh-CN"/>
        </w:rPr>
        <w:t xml:space="preserve">   </w:t>
      </w:r>
    </w:p>
    <w:p>
      <w:pPr>
        <w:spacing w:before="156" w:beforeLines="50" w:line="600" w:lineRule="exact"/>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lang w:eastAsia="zh-CN"/>
        </w:rPr>
        <w:t>项目共设置一级指</w:t>
      </w:r>
      <w:r>
        <w:rPr>
          <w:rFonts w:hint="eastAsia" w:ascii="仿宋" w:hAnsi="仿宋" w:eastAsia="仿宋" w:cs="仿宋"/>
          <w:sz w:val="32"/>
          <w:szCs w:val="32"/>
          <w:highlight w:val="none"/>
          <w:lang w:eastAsia="zh-CN"/>
        </w:rPr>
        <w:t>标3个，二级指标</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lang w:eastAsia="zh-CN"/>
        </w:rPr>
        <w:t>个，三级指标</w:t>
      </w:r>
      <w:r>
        <w:rPr>
          <w:rFonts w:hint="eastAsia" w:ascii="仿宋" w:hAnsi="仿宋" w:eastAsia="仿宋" w:cs="仿宋"/>
          <w:sz w:val="32"/>
          <w:szCs w:val="32"/>
          <w:highlight w:val="none"/>
          <w:lang w:val="en-US" w:eastAsia="zh-CN"/>
        </w:rPr>
        <w:t>16</w:t>
      </w:r>
      <w:r>
        <w:rPr>
          <w:rFonts w:hint="eastAsia" w:ascii="仿宋" w:hAnsi="仿宋" w:eastAsia="仿宋" w:cs="仿宋"/>
          <w:sz w:val="32"/>
          <w:szCs w:val="32"/>
          <w:highlight w:val="none"/>
          <w:lang w:eastAsia="zh-CN"/>
        </w:rPr>
        <w:t>个，绩效目标申报表详见附件1。</w:t>
      </w:r>
    </w:p>
    <w:p>
      <w:pPr>
        <w:spacing w:before="156" w:beforeLines="50" w:line="600" w:lineRule="exact"/>
        <w:ind w:firstLine="645"/>
        <w:rPr>
          <w:rFonts w:hint="eastAsia" w:ascii="仿宋" w:hAnsi="仿宋" w:eastAsia="仿宋" w:cs="仿宋"/>
          <w:b/>
          <w:bCs/>
          <w:sz w:val="32"/>
          <w:szCs w:val="32"/>
          <w:lang w:eastAsia="zh-CN"/>
        </w:rPr>
      </w:pPr>
      <w:bookmarkStart w:id="3" w:name="_Toc26401552"/>
      <w:r>
        <w:rPr>
          <w:rFonts w:hint="eastAsia" w:ascii="仿宋" w:hAnsi="仿宋" w:eastAsia="仿宋" w:cs="仿宋"/>
          <w:b/>
          <w:bCs/>
          <w:sz w:val="32"/>
          <w:szCs w:val="32"/>
          <w:lang w:eastAsia="zh-CN"/>
        </w:rPr>
        <w:t>二、评价工作简述</w:t>
      </w:r>
      <w:bookmarkEnd w:id="3"/>
    </w:p>
    <w:p>
      <w:pPr>
        <w:spacing w:before="156" w:beforeLines="50" w:line="600" w:lineRule="exact"/>
        <w:ind w:firstLine="645"/>
        <w:rPr>
          <w:rFonts w:hint="eastAsia" w:ascii="仿宋" w:hAnsi="仿宋" w:eastAsia="仿宋" w:cs="仿宋"/>
          <w:b/>
          <w:bCs/>
          <w:sz w:val="32"/>
          <w:szCs w:val="32"/>
          <w:lang w:eastAsia="zh-CN"/>
        </w:rPr>
      </w:pPr>
      <w:bookmarkStart w:id="4" w:name="_Toc26401553"/>
      <w:r>
        <w:rPr>
          <w:rFonts w:hint="eastAsia" w:ascii="仿宋" w:hAnsi="仿宋" w:eastAsia="仿宋" w:cs="仿宋"/>
          <w:b/>
          <w:bCs/>
          <w:sz w:val="32"/>
          <w:szCs w:val="32"/>
          <w:lang w:eastAsia="zh-CN"/>
        </w:rPr>
        <w:t>（一）评价目的</w:t>
      </w:r>
      <w:bookmarkEnd w:id="4"/>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本次绩效评价遵循财政部《项目支出绩效评价管理办法》（财预〔2020〕10号）和自治区财政厅《自治区财政支出绩效评价管理暂行办法》（新财预〔2018〕189号）等相关政策文件与规定，旨在评价公共医疗安全能力提升保障运行项目实施前期、过程及效果，评价财政预算资金使用的效率及效益。为更好的做好喀什地区中心血站公共医疗安全能力提升项目-保障运行支出项目的质量、进度、管理工作，坚持“以人为本”，充分调动各方人员的工作积极性，压实责任、落实工作到位、减少工作失误，以优秀的工作质量创造优质的完成此项目为目标，对此次评价工作站领导通过亲自检查对我站退回用血互助金，商品和服务支出（一般办公费，印刷费，咨询费，手续费，水电费，邮电费取暖费，物业管理费，差旅费，因公出国（境）费，维修（护）费，租赁费，会议费，培训费，公务接待费，专用材料费，被装购置费，专用燃料费，劳务费，委托业务费，工会经费，其他商品和服务支出等情况，收集整理相关资料，进行同行业调查，了解今年相关项目的实施运行情况，对资料进行分析等。</w:t>
      </w:r>
    </w:p>
    <w:p>
      <w:pPr>
        <w:spacing w:before="156" w:beforeLines="50" w:line="600" w:lineRule="exact"/>
        <w:ind w:firstLine="645"/>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（二）本次绩效评价的对象及范围</w:t>
      </w:r>
      <w:bookmarkStart w:id="5" w:name="_Toc26401554"/>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本次评价对象为保障运行支出项目资金，评价范围包括专项资金的安排、组织及使用效益。</w:t>
      </w:r>
    </w:p>
    <w:p>
      <w:pPr>
        <w:spacing w:before="156" w:beforeLines="50" w:line="600" w:lineRule="exact"/>
        <w:ind w:firstLine="645"/>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（三）绩效评价原则</w:t>
      </w:r>
      <w:bookmarkEnd w:id="5"/>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本次绩效评价遵循的原则包括：</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科学公正。绩效评价应当运用科学合理的方法，按照规范的程序，对项目绩效进行客观、公正的反映。</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激励约束。绩效评价结果应与预算安排、政策调整、改进管理实质性挂钩，体现奖优罚劣和激励相容导向，有效要安排、低效要压减、无效要问责。</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公开透明。绩效评价结果应依法依规公开，并自觉接受社会监督。绩效评价体系</w:t>
      </w:r>
    </w:p>
    <w:p>
      <w:pPr>
        <w:spacing w:before="156" w:beforeLines="50" w:line="600" w:lineRule="exact"/>
        <w:ind w:firstLine="645"/>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（四）本项目绩效评价体系</w:t>
      </w:r>
    </w:p>
    <w:p>
      <w:pPr>
        <w:spacing w:before="156" w:beforeLines="50" w:line="600" w:lineRule="exact"/>
        <w:ind w:firstLine="645"/>
        <w:rPr>
          <w:rFonts w:hint="eastAsia" w:ascii="仿宋" w:hAnsi="仿宋" w:eastAsia="仿宋" w:cs="仿宋"/>
          <w:sz w:val="32"/>
          <w:szCs w:val="32"/>
          <w:lang w:eastAsia="zh-CN"/>
        </w:rPr>
      </w:pPr>
      <w:r>
        <w:rPr>
          <w:rFonts w:hint="eastAsia" w:ascii="仿宋" w:hAnsi="仿宋" w:eastAsia="仿宋" w:cs="仿宋"/>
          <w:sz w:val="32"/>
          <w:szCs w:val="32"/>
          <w:lang w:eastAsia="zh-CN"/>
        </w:rPr>
        <w:t>本项目绩效评价体系为根据财预﹝2020﹞10号共性指标及个性化指标设置，详见附件</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p>
    <w:p>
      <w:pPr>
        <w:spacing w:before="156" w:beforeLines="50" w:line="600" w:lineRule="exact"/>
        <w:ind w:firstLine="645"/>
        <w:rPr>
          <w:rFonts w:hint="eastAsia" w:ascii="仿宋" w:hAnsi="仿宋" w:eastAsia="仿宋" w:cs="仿宋"/>
          <w:b/>
          <w:bCs/>
          <w:sz w:val="32"/>
          <w:szCs w:val="32"/>
          <w:lang w:eastAsia="zh-CN"/>
        </w:rPr>
      </w:pPr>
      <w:bookmarkStart w:id="6" w:name="_Toc26401555"/>
      <w:r>
        <w:rPr>
          <w:rFonts w:hint="eastAsia" w:ascii="仿宋" w:hAnsi="仿宋" w:eastAsia="仿宋" w:cs="仿宋"/>
          <w:b/>
          <w:bCs/>
          <w:sz w:val="32"/>
          <w:szCs w:val="32"/>
          <w:lang w:eastAsia="zh-CN"/>
        </w:rPr>
        <w:t>（五）绩效评价方法</w:t>
      </w:r>
      <w:bookmarkEnd w:id="6"/>
    </w:p>
    <w:p>
      <w:pPr>
        <w:spacing w:before="156" w:beforeLines="50" w:line="600" w:lineRule="exact"/>
        <w:ind w:firstLine="645"/>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本次绩效评价方法的选用坚持简便有效的原则采用成本效益分析法、专家评议法、问卷调查法、综合分析法。</w:t>
      </w:r>
    </w:p>
    <w:p>
      <w:pPr>
        <w:spacing w:before="156" w:beforeLines="50" w:line="600" w:lineRule="exact"/>
        <w:ind w:firstLine="645"/>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（六）评价标准</w:t>
      </w:r>
    </w:p>
    <w:p>
      <w:pPr>
        <w:spacing w:before="156" w:beforeLines="50" w:line="600" w:lineRule="exact"/>
        <w:ind w:firstLine="645"/>
        <w:rPr>
          <w:rFonts w:hint="eastAsia" w:ascii="仿宋" w:hAnsi="仿宋" w:eastAsia="仿宋" w:cs="仿宋"/>
          <w:b w:val="0"/>
          <w:bCs w:val="0"/>
          <w:sz w:val="32"/>
          <w:szCs w:val="32"/>
          <w:lang w:eastAsia="zh-CN"/>
        </w:rPr>
      </w:pPr>
      <w:r>
        <w:rPr>
          <w:rFonts w:hint="eastAsia" w:ascii="仿宋" w:hAnsi="仿宋" w:eastAsia="仿宋" w:cs="仿宋"/>
          <w:sz w:val="32"/>
          <w:szCs w:val="32"/>
          <w:lang w:eastAsia="zh-CN"/>
        </w:rPr>
        <w:t xml:space="preserve">   </w:t>
      </w:r>
      <w:r>
        <w:rPr>
          <w:rFonts w:hint="eastAsia" w:ascii="仿宋" w:hAnsi="仿宋" w:eastAsia="仿宋" w:cs="仿宋"/>
          <w:b w:val="0"/>
          <w:bCs w:val="0"/>
          <w:sz w:val="32"/>
          <w:szCs w:val="32"/>
          <w:lang w:eastAsia="zh-CN"/>
        </w:rPr>
        <w:t xml:space="preserve"> 项目评价标准采用计划标准、行业标准、历史标准</w:t>
      </w:r>
    </w:p>
    <w:p>
      <w:pPr>
        <w:spacing w:before="156" w:beforeLines="50" w:line="600" w:lineRule="exact"/>
        <w:ind w:firstLine="645"/>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（七）绩效评价工作过程</w:t>
      </w:r>
    </w:p>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本次评价成立了评价，成员如下：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阿站长</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副站长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张力</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lang w:eastAsia="zh-CN" w:bidi="ar"/>
              </w:rPr>
            </w:pPr>
            <w:r>
              <w:rPr>
                <w:rFonts w:hint="eastAsia"/>
                <w:b w:val="0"/>
                <w:bCs w:val="0"/>
                <w:lang w:eastAsia="zh-CN" w:bidi="ar"/>
              </w:rPr>
              <w:t>办公室主任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沈传伟</w:t>
            </w:r>
          </w:p>
        </w:tc>
        <w:tc>
          <w:tcPr>
            <w:tcW w:w="2765" w:type="dxa"/>
            <w:vAlign w:val="center"/>
          </w:tcPr>
          <w:p>
            <w:pPr>
              <w:pStyle w:val="23"/>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站长</w:t>
            </w:r>
          </w:p>
        </w:tc>
        <w:tc>
          <w:tcPr>
            <w:tcW w:w="2766" w:type="dxa"/>
            <w:vAlign w:val="center"/>
          </w:tcPr>
          <w:p>
            <w:pPr>
              <w:pStyle w:val="23"/>
              <w:keepNext w:val="0"/>
              <w:keepLines w:val="0"/>
              <w:numPr>
                <w:ilvl w:val="0"/>
                <w:numId w:val="0"/>
              </w:numPr>
              <w:spacing w:line="240" w:lineRule="atLeast"/>
              <w:jc w:val="center"/>
              <w:rPr>
                <w:rFonts w:hint="eastAsia"/>
                <w:b w:val="0"/>
                <w:bCs w:val="0"/>
                <w:lang w:eastAsia="zh-CN" w:bidi="ar"/>
              </w:rPr>
            </w:pPr>
            <w:r>
              <w:rPr>
                <w:rFonts w:hint="eastAsia"/>
                <w:b w:val="0"/>
                <w:bCs w:val="0"/>
                <w:lang w:eastAsia="zh-CN" w:bidi="ar"/>
              </w:rPr>
              <w:t>站长</w:t>
            </w:r>
          </w:p>
        </w:tc>
      </w:tr>
    </w:tbl>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1"/>
        <w:numPr>
          <w:ilvl w:val="0"/>
          <w:numId w:val="0"/>
        </w:numPr>
        <w:ind w:left="643" w:leftChars="0"/>
        <w:rPr>
          <w:color w:val="FF0000"/>
          <w:highlight w:val="none"/>
          <w:lang w:bidi="ar"/>
        </w:rPr>
      </w:pPr>
      <w:bookmarkStart w:id="7" w:name="_Toc26401558"/>
      <w:r>
        <w:rPr>
          <w:rFonts w:hint="eastAsia" w:ascii="黑体" w:hAnsi="黑体"/>
          <w:highlight w:val="none"/>
          <w:lang w:eastAsia="zh-CN"/>
        </w:rPr>
        <w:t>三、</w:t>
      </w:r>
      <w:r>
        <w:rPr>
          <w:rFonts w:hint="eastAsia" w:ascii="黑体" w:hAnsi="黑体"/>
          <w:highlight w:val="none"/>
        </w:rPr>
        <w:t>综合评价情况及评价结</w:t>
      </w:r>
    </w:p>
    <w:p>
      <w:pPr>
        <w:pStyle w:val="21"/>
        <w:ind w:firstLine="64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经评价组通过实地调研、资料分析等方式，采用综合分析法、成本效益分析法、最低成本法、标杆管理法（根据实际情况去留）等对项目的决策、管理、绩效进行的综合评价分析，项目得分为</w:t>
      </w:r>
      <w:r>
        <w:rPr>
          <w:rFonts w:hint="eastAsia" w:ascii="仿宋" w:hAnsi="仿宋" w:eastAsia="仿宋" w:cs="仿宋"/>
          <w:b w:val="0"/>
          <w:bCs w:val="0"/>
          <w:kern w:val="2"/>
          <w:sz w:val="32"/>
          <w:szCs w:val="32"/>
          <w:highlight w:val="none"/>
          <w:lang w:val="en-US" w:eastAsia="zh-CN" w:bidi="ar-SA"/>
        </w:rPr>
        <w:t>96分，评价结</w:t>
      </w:r>
      <w:r>
        <w:rPr>
          <w:rFonts w:hint="eastAsia" w:ascii="仿宋" w:hAnsi="仿宋" w:eastAsia="仿宋" w:cs="仿宋"/>
          <w:b w:val="0"/>
          <w:bCs w:val="0"/>
          <w:kern w:val="2"/>
          <w:sz w:val="32"/>
          <w:szCs w:val="32"/>
          <w:lang w:val="en-US" w:eastAsia="zh-CN" w:bidi="ar-SA"/>
        </w:rPr>
        <w:t>果为优，详见附件6。</w:t>
      </w:r>
    </w:p>
    <w:p>
      <w:pPr>
        <w:pStyle w:val="21"/>
        <w:numPr>
          <w:ilvl w:val="0"/>
          <w:numId w:val="0"/>
        </w:numPr>
        <w:ind w:left="643" w:leftChars="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四、绩效评价指标分析</w:t>
      </w:r>
      <w:bookmarkEnd w:id="7"/>
    </w:p>
    <w:p>
      <w:pPr>
        <w:pStyle w:val="17"/>
        <w:numPr>
          <w:ilvl w:val="0"/>
          <w:numId w:val="4"/>
        </w:numPr>
        <w:spacing w:before="156" w:beforeLines="50" w:line="600" w:lineRule="exact"/>
        <w:ind w:left="0" w:firstLine="643"/>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项目的决策情况</w:t>
      </w:r>
    </w:p>
    <w:p>
      <w:pPr>
        <w:pStyle w:val="26"/>
        <w:ind w:firstLine="640"/>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本项目的立项符合相关法规政策及部门职责，依据充分；项目是按照规定的程序申请设立；审批文件、材料是符合相关要求；项目前期是已经过必要的可行性研究、专家论证、风险评估、绩效评估、集体决策。</w:t>
      </w:r>
    </w:p>
    <w:p>
      <w:pPr>
        <w:spacing w:before="156" w:beforeLines="50" w:line="600" w:lineRule="exact"/>
        <w:ind w:firstLine="640" w:firstLineChars="200"/>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项目根据相关文件要求设置了绩效目标，项目绩效目标基本合理，是与实际工作内容相关；项目预期产出效益和效果是符合正常的业绩水平；与预算确定的项目投资额或资金量相匹配。将项目绩效目标细化分解为具体的绩效指标；是通过清晰、可衡量的指标值予以体现；与项目目标任务数或计划数相对应。</w:t>
      </w:r>
    </w:p>
    <w:p>
      <w:pPr>
        <w:spacing w:before="156" w:beforeLines="50" w:line="600" w:lineRule="exact"/>
        <w:ind w:firstLine="640" w:firstLineChars="200"/>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项目在资金投入方面，预算编制是经过科学论证、有明确标准，资金额度与年度目标是相适应，用以反映和考核项目预算编制的科学性、合理性情况。项目预算资金分配是有测算依据，与补助单位或地方实际是相适应。</w:t>
      </w:r>
    </w:p>
    <w:p>
      <w:pPr>
        <w:pStyle w:val="17"/>
        <w:numPr>
          <w:ilvl w:val="0"/>
          <w:numId w:val="4"/>
        </w:numPr>
        <w:spacing w:before="156" w:beforeLines="50" w:line="600" w:lineRule="exact"/>
        <w:ind w:left="0" w:firstLine="643"/>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项目的过程情况</w:t>
      </w:r>
    </w:p>
    <w:p>
      <w:pPr>
        <w:spacing w:line="500" w:lineRule="exact"/>
        <w:ind w:firstLine="645"/>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在资金管理方面，项目资金到位是足额及时，是及时支付，资金使用是符合国家法规和财务管理制度；资金拨付有完整的审批程序和手续，符合项目预算批复或合同规定的用途；不存在截留、挤占、挪用、虚列支出等情况。</w:t>
      </w:r>
    </w:p>
    <w:p>
      <w:pPr>
        <w:spacing w:line="500" w:lineRule="exact"/>
        <w:ind w:firstLine="645"/>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在项目组织实施方面，项目单位已制定或具有相应的财务和业务管理制度，财务和业务管理制度合法、合规、完整。项目实施遵守相关法律法规和相关管理规定。</w:t>
      </w:r>
    </w:p>
    <w:p>
      <w:pPr>
        <w:spacing w:line="500" w:lineRule="exact"/>
        <w:ind w:firstLine="645"/>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项目调整及支出调整手续完备，项目合同书、验收报告、技术鉴定等资料齐全并及时归档，项目实施的人员条件、场地设备、信息支撑等是否落实到位。</w:t>
      </w:r>
    </w:p>
    <w:p>
      <w:pPr>
        <w:pStyle w:val="17"/>
        <w:numPr>
          <w:ilvl w:val="0"/>
          <w:numId w:val="4"/>
        </w:numPr>
        <w:spacing w:before="156" w:beforeLines="50" w:line="600" w:lineRule="exact"/>
        <w:ind w:left="0" w:firstLine="643"/>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项目产出情况</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项目产出数量为4个，预期指标值为4个，实际完成值为4个，指标达到预期目标。</w:t>
      </w:r>
    </w:p>
    <w:p>
      <w:pPr>
        <w:spacing w:before="156" w:beforeLines="50" w:line="600" w:lineRule="exact"/>
        <w:ind w:firstLine="66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物业管理数量(处)，预期指标值为4处，实际完成值为4处，指标完成率100%，达到预期目标。</w:t>
      </w:r>
    </w:p>
    <w:p>
      <w:pPr>
        <w:spacing w:before="156" w:beforeLines="50" w:line="600" w:lineRule="exact"/>
        <w:ind w:firstLine="66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年采血人次（人次），预期指标值为14800人次，实际完成值为14800人次，指标完成率100%，达到预期目标。</w:t>
      </w:r>
    </w:p>
    <w:p>
      <w:pPr>
        <w:pStyle w:val="2"/>
        <w:ind w:firstLine="320" w:firstLineChars="1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印刷品数量（份），预期指标值为42000份，实际完成值为42000份，指标完成率100%，达到预期目标。</w:t>
      </w:r>
    </w:p>
    <w:p>
      <w:pPr>
        <w:pStyle w:val="2"/>
        <w:ind w:firstLine="320" w:firstLineChars="100"/>
        <w:rPr>
          <w:rFonts w:hint="default"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年临床供血量（U），预期指标值为50000（U），实际完成值为50000（U），指标完成率100%，达到预期目标。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b w:val="0"/>
          <w:bCs w:val="0"/>
          <w:kern w:val="2"/>
          <w:sz w:val="32"/>
          <w:szCs w:val="32"/>
          <w:lang w:val="en-US" w:eastAsia="zh-CN" w:bidi="ar-SA"/>
        </w:rPr>
        <w:t>项目产出质量为4个，预期指标值为4个，实际完成值</w:t>
      </w:r>
      <w:r>
        <w:rPr>
          <w:rFonts w:hint="eastAsia" w:ascii="仿宋" w:hAnsi="仿宋" w:eastAsia="仿宋" w:cs="仿宋"/>
          <w:kern w:val="2"/>
          <w:sz w:val="32"/>
          <w:szCs w:val="32"/>
          <w:lang w:val="en-US" w:eastAsia="zh-CN" w:bidi="ar-SA"/>
        </w:rPr>
        <w:t>4个，指标达到预期目标。</w:t>
      </w:r>
    </w:p>
    <w:p>
      <w:pPr>
        <w:pStyle w:val="2"/>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完成采供血耗材购买率（%），预期指标值为90%，实际完成值为90%，指标完成率100%，达到预期目标。</w:t>
      </w:r>
    </w:p>
    <w:p>
      <w:pPr>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完成支出成本耗材率（%），预期指标值为90%，实际完成值为90%，指标完成率100%，达到预期目标。</w:t>
      </w:r>
    </w:p>
    <w:p>
      <w:pPr>
        <w:pStyle w:val="2"/>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资金拨付到位率（%），预期指标值为90%，实际完成值为90%，指标完成率100%，达到预期目标。</w:t>
      </w:r>
    </w:p>
    <w:p>
      <w:pPr>
        <w:ind w:firstLine="640" w:firstLineChars="200"/>
        <w:rPr>
          <w:rFonts w:hint="eastAsia"/>
          <w:lang w:val="en-US" w:eastAsia="zh-CN"/>
        </w:rPr>
      </w:pPr>
      <w:r>
        <w:rPr>
          <w:rFonts w:hint="eastAsia" w:ascii="仿宋" w:hAnsi="仿宋" w:eastAsia="仿宋" w:cs="仿宋"/>
          <w:b w:val="0"/>
          <w:bCs w:val="0"/>
          <w:kern w:val="2"/>
          <w:sz w:val="32"/>
          <w:szCs w:val="32"/>
          <w:lang w:val="en-US" w:eastAsia="zh-CN" w:bidi="ar-SA"/>
        </w:rPr>
        <w:t>审核无偿献血人群用血报销正确率（%），预期指标值为95%，实际完成值为95%，指标完成率100%，达到预期目标。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项目产出时效为1个，预期指标值为1个，实际完成值为1个，达到预期目标。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采供血物料供应入库及时率（天），预期指标值为15天，实际完成值为12，指标完成率100%，达到预期目标。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项目产出成本指标为4个，预期指标值为4个，实际完成值为4个，达到预期目标。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业务经费支出额（元），预期指标值为2324900元，实际完成值为2627906元，指标完成率100%，达到预期目标。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专用材料费支出额（元），预期指标值为6500000元，实际完成值为4546533元，指标完成率100%，达到预期目标。原因是：专用材料用量减少。</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退血费及用血互助金支出额（元），预期指标值为6500000，实际完成值为3454378，指标完成率100%，达到预期目标。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维修（护）费支出额（元），预期指标值为900000元，实际完成值为877564元，指标完成率100%，达到预期目标。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项目效益情况</w:t>
      </w:r>
    </w:p>
    <w:p>
      <w:pPr>
        <w:spacing w:before="156" w:beforeLines="50" w:line="600" w:lineRule="exact"/>
        <w:ind w:firstLine="660"/>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 xml:space="preserve"> 项目实施产生的经济效益指标为：无</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项目实施产生的社会效益指标为1个，预期指标值为1个，实际完成值为1个，达到了预期目标。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喀什地区临床用血保障率（%），预期指标值为95%，实际完成值为95%，指标完成率100%，达到预期目标。</w:t>
      </w:r>
    </w:p>
    <w:p>
      <w:pPr>
        <w:spacing w:before="156" w:beforeLines="50" w:line="600" w:lineRule="exact"/>
        <w:ind w:firstLine="660"/>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项目实施产生的生态效益指标为：无</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项目的可持续效益效益指标为1个，预期指标值为1个，实际完成值为1个，达到了预期目标。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为全地区各医院及时提供安全血液，预期指标值为有力保障，实际完成值为有力保障，指标完成率100%，达到预期目标。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经问卷调查，项目收益群众满意度为：1个，达到了预期目标。</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献血者满意度，预期指标值为95%，实际完成值为95%，指标完成率100%，达到预期目标。</w:t>
      </w:r>
    </w:p>
    <w:p>
      <w:pPr>
        <w:spacing w:before="156" w:beforeLines="50" w:line="600" w:lineRule="exact"/>
        <w:ind w:firstLine="660"/>
        <w:rPr>
          <w:rFonts w:hint="eastAsia" w:ascii="仿宋" w:hAnsi="仿宋" w:eastAsia="仿宋" w:cs="仿宋"/>
          <w:kern w:val="2"/>
          <w:sz w:val="32"/>
          <w:szCs w:val="32"/>
          <w:lang w:val="en-US" w:eastAsia="zh-CN" w:bidi="ar-SA"/>
        </w:rPr>
      </w:pPr>
    </w:p>
    <w:p>
      <w:pPr>
        <w:spacing w:before="156" w:beforeLines="50" w:line="600" w:lineRule="exact"/>
        <w:ind w:firstLine="660"/>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五、主要经验及做法、存在的问题及原因分析</w:t>
      </w:r>
    </w:p>
    <w:p>
      <w:pPr>
        <w:spacing w:before="156" w:beforeLines="50" w:line="600" w:lineRule="exact"/>
        <w:ind w:firstLine="660"/>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（一）主要经验及做法</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项目实施效果较好的原因主要是管理制度完善、责任落实到位，跟踪考核机制完善且运行有效，在项目实施过程中，喀什地区中心血站建立了《喀什地区中心血站财务管理制度及办法》保障项目的顺利实施。项目的实施遵守相关法律法规和业务管理规定，项目资料齐全并及时归档。已建立《喀什地区中心血站日常检查监督检查机制》，不定期对项目进度情况进行督导检查，对检查过程中发现的问题及时督促整改，确保了项目按时保质完成。</w:t>
      </w:r>
    </w:p>
    <w:p>
      <w:pPr>
        <w:numPr>
          <w:ilvl w:val="0"/>
          <w:numId w:val="5"/>
        </w:numPr>
        <w:spacing w:before="156" w:beforeLines="50" w:line="600" w:lineRule="exact"/>
        <w:ind w:firstLine="660"/>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存在的问题及原因分析</w:t>
      </w:r>
    </w:p>
    <w:p>
      <w:pPr>
        <w:numPr>
          <w:ilvl w:val="0"/>
          <w:numId w:val="0"/>
        </w:numPr>
        <w:spacing w:before="156" w:beforeLines="50"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该项目前期执行较为缓慢，后期执行速度应加快点，因一年的专用材料每年10月底购置入库，验收完以后才入库，拨付资金。实施单位需要设置相应岗位，指定具体项目负责人，分工明确，加快办理前期各项手续。</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建议和改进措施</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强化项目前期准备工作，加强项目实施方案和计划的可行性论证。建议项目单位在项目开展前进行深入的需求调研，并形成需求调研报告，在此基础上，仔细撰写可行性研究报告，对项目开展的必要性、可行性、风险防范措施等进行深入分析，同时制定工作实施方案和资金使用。</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2.按照预算支出内容、以结果为导向，设置合理的绩效目标，加强项目实施效果的管控。</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3．完善资金管理制度，树立监督管理责任意识，加强资金监管力度，完善资金监督制度，发现问题及时进行纠正。</w:t>
      </w:r>
    </w:p>
    <w:p>
      <w:pPr>
        <w:spacing w:before="156" w:beforeLines="50" w:line="600" w:lineRule="exact"/>
        <w:ind w:firstLine="66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4.进一步加强预算绩效管理，建立“预算编制有目标、预算执行有、预算完成有评价、评价结果有反馈、反馈结果有应用”的预算绩效管理机制。</w:t>
      </w:r>
    </w:p>
    <w:p>
      <w:pPr>
        <w:pStyle w:val="17"/>
        <w:adjustRightInd w:val="0"/>
        <w:snapToGrid w:val="0"/>
        <w:spacing w:line="540" w:lineRule="exact"/>
        <w:ind w:firstLine="640"/>
        <w:jc w:val="both"/>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是建议以此次预算绩效评审为开端，将绩效评价工作深入到单位工作的每一个环节，对每一个预算项目或者达到标准的项目要求进行预算评审，并适时开展财政支出绩效评价工作，逐渐建立目标管理、动态监测、年度考核三位一体的工作机制。二是强化绩效问责机制。在此次事前绩效评审过程中，存在对财政支出项目绩效管理的重要性认识不足的现象，体现在对绩效申报工作重视度不够，申报表单填写不完整，填写的内容不够细致，佐证材料准备不充分等方面。</w:t>
      </w:r>
    </w:p>
    <w:p>
      <w:pPr>
        <w:pStyle w:val="17"/>
        <w:adjustRightInd w:val="0"/>
        <w:snapToGrid w:val="0"/>
        <w:spacing w:before="156" w:after="156" w:line="540" w:lineRule="exact"/>
        <w:ind w:firstLine="640"/>
        <w:jc w:val="both"/>
        <w:rPr>
          <w:rFonts w:hint="eastAsia" w:ascii="仿宋" w:hAnsi="仿宋" w:eastAsia="仿宋" w:cs="仿宋"/>
          <w:kern w:val="2"/>
          <w:sz w:val="32"/>
          <w:szCs w:val="32"/>
          <w:lang w:val="en-US" w:eastAsia="zh-CN" w:bidi="ar-SA"/>
        </w:rPr>
      </w:pPr>
    </w:p>
    <w:p>
      <w:pPr>
        <w:pStyle w:val="21"/>
        <w:numPr>
          <w:ilvl w:val="0"/>
          <w:numId w:val="2"/>
        </w:numPr>
        <w:ind w:firstLineChars="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有关建议</w:t>
      </w:r>
    </w:p>
    <w:p>
      <w:pPr>
        <w:pStyle w:val="21"/>
        <w:ind w:firstLine="0" w:firstLineChars="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无</w:t>
      </w:r>
    </w:p>
    <w:p>
      <w:pPr>
        <w:pStyle w:val="21"/>
        <w:numPr>
          <w:ilvl w:val="0"/>
          <w:numId w:val="0"/>
        </w:numPr>
        <w:ind w:left="643" w:leftChars="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六、其他需要说明的问题</w:t>
      </w:r>
    </w:p>
    <w:p>
      <w:pPr>
        <w:spacing w:before="156" w:beforeLines="50"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下一步任务是做好下一年度资金使用计划，按照项目进度及时拨款，使资金使用效益最大化，减少不必要的浪费，节约成本。</w:t>
      </w:r>
    </w:p>
    <w:p>
      <w:pPr>
        <w:spacing w:before="156" w:beforeLines="50"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附件1：喀什地区中心血站单位公共医疗安全力提升保障运行项目支出绩效目标申报表</w:t>
      </w:r>
    </w:p>
    <w:p>
      <w:pPr>
        <w:spacing w:before="156" w:beforeLines="50"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附件2：喀什地区中心血站部门公共医疗安全力提升保障运行项目支出绩效表</w:t>
      </w:r>
    </w:p>
    <w:p>
      <w:pPr>
        <w:spacing w:before="156" w:beforeLines="50"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附件3：喀什地区中心血站部门公共医疗安全力提升保障运行项目支出绩效自评表</w:t>
      </w:r>
    </w:p>
    <w:p>
      <w:pPr>
        <w:spacing w:before="156" w:beforeLines="50"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附件4：喀什地区中心血站部门公共医疗安全力提升保障运行项目支出绩效评价体系</w:t>
      </w:r>
    </w:p>
    <w:p>
      <w:pPr>
        <w:spacing w:before="156" w:beforeLines="50"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附件5：绩效评价依据</w:t>
      </w:r>
    </w:p>
    <w:p>
      <w:pPr>
        <w:spacing w:before="156" w:beforeLines="50"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附件6：喀什地区中心血站公共医疗安全力   提升保障运行项目支出绩效评分表</w:t>
      </w:r>
    </w:p>
    <w:p>
      <w:pPr>
        <w:spacing w:before="156" w:beforeLines="50" w:line="600" w:lineRule="exact"/>
        <w:ind w:firstLine="640" w:firstLineChars="200"/>
        <w:rPr>
          <w:rFonts w:ascii="仿宋_GB2312" w:hAnsi="仿宋" w:eastAsia="仿宋_GB2312" w:cs="宋体"/>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2">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64B21A89"/>
    <w:multiLevelType w:val="singleLevel"/>
    <w:tmpl w:val="64B21A89"/>
    <w:lvl w:ilvl="0" w:tentative="0">
      <w:start w:val="2"/>
      <w:numFmt w:val="chineseCounting"/>
      <w:suff w:val="nothing"/>
      <w:lvlText w:val="（%1）"/>
      <w:lvlJc w:val="left"/>
      <w:rPr>
        <w:rFonts w:hint="eastAsia"/>
      </w:r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60EF7"/>
    <w:rsid w:val="01BE6316"/>
    <w:rsid w:val="01E50C10"/>
    <w:rsid w:val="0F794C0B"/>
    <w:rsid w:val="0FE27D22"/>
    <w:rsid w:val="158D2243"/>
    <w:rsid w:val="238D7F5E"/>
    <w:rsid w:val="244C1E95"/>
    <w:rsid w:val="24E73B1F"/>
    <w:rsid w:val="26F03C06"/>
    <w:rsid w:val="29306149"/>
    <w:rsid w:val="2A547683"/>
    <w:rsid w:val="2DBA3FF8"/>
    <w:rsid w:val="2E9F2BAA"/>
    <w:rsid w:val="38420A73"/>
    <w:rsid w:val="3BE90F1E"/>
    <w:rsid w:val="3E437B6A"/>
    <w:rsid w:val="3F0742D1"/>
    <w:rsid w:val="3F162AEA"/>
    <w:rsid w:val="42A42A32"/>
    <w:rsid w:val="4B6C6F0B"/>
    <w:rsid w:val="51EE1F2A"/>
    <w:rsid w:val="57A267CA"/>
    <w:rsid w:val="57F81570"/>
    <w:rsid w:val="597D5E9F"/>
    <w:rsid w:val="5D1C58D9"/>
    <w:rsid w:val="5D7E6734"/>
    <w:rsid w:val="650B0A43"/>
    <w:rsid w:val="667765BF"/>
    <w:rsid w:val="6DA266E7"/>
    <w:rsid w:val="6E446268"/>
    <w:rsid w:val="752A1DB7"/>
    <w:rsid w:val="7775238E"/>
    <w:rsid w:val="799A1890"/>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3"/>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字符"/>
    <w:basedOn w:val="14"/>
    <w:link w:val="8"/>
    <w:qFormat/>
    <w:uiPriority w:val="99"/>
    <w:rPr>
      <w:sz w:val="18"/>
      <w:szCs w:val="18"/>
    </w:rPr>
  </w:style>
  <w:style w:type="character" w:customStyle="1" w:styleId="19">
    <w:name w:val="页脚 字符"/>
    <w:basedOn w:val="14"/>
    <w:link w:val="7"/>
    <w:qFormat/>
    <w:uiPriority w:val="99"/>
    <w:rPr>
      <w:sz w:val="18"/>
      <w:szCs w:val="18"/>
    </w:rPr>
  </w:style>
  <w:style w:type="character" w:customStyle="1" w:styleId="20">
    <w:name w:val="批注框文本 字符"/>
    <w:basedOn w:val="14"/>
    <w:link w:val="6"/>
    <w:semiHidden/>
    <w:qFormat/>
    <w:uiPriority w:val="99"/>
    <w:rPr>
      <w:sz w:val="18"/>
      <w:szCs w:val="18"/>
    </w:rPr>
  </w:style>
  <w:style w:type="paragraph" w:customStyle="1" w:styleId="21">
    <w:name w:val="标题1"/>
    <w:basedOn w:val="3"/>
    <w:qFormat/>
    <w:uiPriority w:val="0"/>
    <w:pPr>
      <w:spacing w:before="120" w:after="120" w:line="500" w:lineRule="exact"/>
      <w:ind w:firstLine="200" w:firstLineChars="200"/>
    </w:pPr>
    <w:rPr>
      <w:rFonts w:cs="Times New Roman"/>
      <w:sz w:val="32"/>
      <w:szCs w:val="32"/>
    </w:rPr>
  </w:style>
  <w:style w:type="character" w:customStyle="1" w:styleId="22">
    <w:name w:val="标题 2 字符"/>
    <w:basedOn w:val="14"/>
    <w:link w:val="4"/>
    <w:qFormat/>
    <w:uiPriority w:val="9"/>
    <w:rPr>
      <w:rFonts w:asciiTheme="majorHAnsi" w:hAnsiTheme="majorHAnsi" w:eastAsiaTheme="majorEastAsia" w:cstheme="majorBidi"/>
      <w:b/>
      <w:bCs/>
      <w:sz w:val="32"/>
      <w:szCs w:val="32"/>
    </w:rPr>
  </w:style>
  <w:style w:type="paragraph" w:customStyle="1" w:styleId="23">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2"/>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字符"/>
    <w:basedOn w:val="14"/>
    <w:link w:val="2"/>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53</TotalTime>
  <ScaleCrop>false</ScaleCrop>
  <LinksUpToDate>false</LinksUpToDate>
  <CharactersWithSpaces>6006</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cp:lastPrinted>2020-04-30T08:26:00Z</cp:lastPrinted>
  <dcterms:modified xsi:type="dcterms:W3CDTF">2020-09-05T10:25:56Z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