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F6" w:rsidRDefault="00BB1413" w:rsidP="00C06720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 </w:t>
      </w:r>
    </w:p>
    <w:p w:rsidR="001218F6" w:rsidRDefault="001218F6" w:rsidP="00C06720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</w:p>
    <w:p w:rsidR="001218F6" w:rsidRDefault="002227D6" w:rsidP="00C06720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喀什军用饮食供应站专项经费项目支出绩效评价报告</w:t>
      </w:r>
    </w:p>
    <w:p w:rsidR="001218F6" w:rsidRDefault="001218F6" w:rsidP="00C06720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1218F6" w:rsidRDefault="001218F6" w:rsidP="00C06720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1218F6" w:rsidRDefault="001218F6" w:rsidP="00C06720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1218F6" w:rsidRDefault="001218F6" w:rsidP="00C06720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1218F6" w:rsidRDefault="002227D6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项目名称：专项经费</w:t>
      </w:r>
    </w:p>
    <w:p w:rsidR="001218F6" w:rsidRDefault="002227D6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实施单位：喀什军用饮食供应站</w:t>
      </w:r>
    </w:p>
    <w:p w:rsidR="001218F6" w:rsidRDefault="002227D6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评价部门：喀什军用饮食供应站</w:t>
      </w:r>
    </w:p>
    <w:p w:rsidR="001218F6" w:rsidRDefault="001218F6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1218F6" w:rsidRDefault="001218F6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1218F6" w:rsidRDefault="001218F6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1218F6" w:rsidRDefault="002227D6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1218F6" w:rsidRDefault="001218F6" w:rsidP="00C06720">
      <w:pPr>
        <w:spacing w:beforeLines="50" w:before="120" w:line="0" w:lineRule="atLeast"/>
        <w:jc w:val="left"/>
        <w:rPr>
          <w:sz w:val="28"/>
          <w:szCs w:val="28"/>
        </w:rPr>
      </w:pPr>
    </w:p>
    <w:p w:rsidR="001218F6" w:rsidRDefault="001218F6" w:rsidP="00C06720">
      <w:pPr>
        <w:spacing w:beforeLines="50" w:before="120" w:afterLines="50" w:after="120" w:line="600" w:lineRule="exact"/>
        <w:jc w:val="center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 w:rsidR="001218F6" w:rsidRDefault="001218F6" w:rsidP="00C06720">
      <w:pPr>
        <w:spacing w:beforeLines="50" w:before="120" w:afterLines="50" w:after="120" w:line="600" w:lineRule="exact"/>
        <w:jc w:val="center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 w:rsidR="001218F6" w:rsidRDefault="001218F6">
      <w:pPr>
        <w:pStyle w:val="11"/>
        <w:ind w:firstLineChars="0" w:firstLine="0"/>
        <w:rPr>
          <w:lang w:bidi="ar"/>
        </w:rPr>
      </w:pPr>
    </w:p>
    <w:p w:rsidR="001218F6" w:rsidRDefault="002227D6">
      <w:pPr>
        <w:pStyle w:val="11"/>
        <w:ind w:firstLine="643"/>
        <w:rPr>
          <w:lang w:bidi="ar"/>
        </w:rPr>
      </w:pPr>
      <w:r>
        <w:rPr>
          <w:rFonts w:hint="eastAsia"/>
          <w:lang w:bidi="ar"/>
        </w:rPr>
        <w:t>一、基本情况</w:t>
      </w:r>
    </w:p>
    <w:p w:rsidR="001218F6" w:rsidRDefault="002227D6">
      <w:pPr>
        <w:pStyle w:val="2"/>
        <w:ind w:left="0" w:firstLineChars="200" w:firstLine="643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 w:rsidR="001218F6" w:rsidRDefault="002227D6" w:rsidP="00C06720">
      <w:pPr>
        <w:pStyle w:val="aa"/>
        <w:numPr>
          <w:ilvl w:val="0"/>
          <w:numId w:val="2"/>
        </w:numPr>
        <w:spacing w:beforeLines="50" w:before="120" w:line="600" w:lineRule="exact"/>
        <w:ind w:firstLineChars="0"/>
        <w:rPr>
          <w:rFonts w:ascii="仿宋_GB2312" w:eastAsia="仿宋_GB2312" w:hAnsi="仿宋" w:cs="宋体"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项目背景及立项依据</w:t>
      </w:r>
    </w:p>
    <w:p w:rsidR="001218F6" w:rsidRDefault="002227D6">
      <w:pPr>
        <w:widowControl/>
        <w:ind w:firstLineChars="200" w:firstLine="640"/>
        <w:jc w:val="left"/>
        <w:rPr>
          <w:rFonts w:ascii="仿宋_GB2312" w:eastAsia="仿宋_GB2312" w:hAnsi="仿宋" w:cs="宋体"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本项目设立的政策依据：</w:t>
      </w:r>
      <w:r w:rsidR="00BB1413"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以</w:t>
      </w:r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《工作指导性标准通知》和《喀什地区常态化工作暂行办法（试行）》两个文件。</w:t>
      </w:r>
    </w:p>
    <w:p w:rsidR="001218F6" w:rsidRDefault="002227D6" w:rsidP="00C06720">
      <w:pPr>
        <w:pStyle w:val="aa"/>
        <w:numPr>
          <w:ilvl w:val="0"/>
          <w:numId w:val="2"/>
        </w:numPr>
        <w:spacing w:beforeLines="50" w:before="120" w:line="600" w:lineRule="exact"/>
        <w:ind w:firstLineChars="0"/>
        <w:rPr>
          <w:rFonts w:ascii="仿宋_GB2312" w:eastAsia="仿宋_GB2312" w:hAnsi="仿宋" w:cs="宋体"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项目主要内容及实施情况</w:t>
      </w:r>
    </w:p>
    <w:p w:rsidR="001218F6" w:rsidRDefault="002227D6">
      <w:pPr>
        <w:widowControl/>
        <w:ind w:firstLineChars="200" w:firstLine="640"/>
        <w:jc w:val="left"/>
        <w:rPr>
          <w:rFonts w:ascii="仿宋_GB2312" w:eastAsia="仿宋_GB2312" w:hAnsi="仿宋" w:cs="宋体"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为贯彻落实自治区党委、地委关于维护工</w:t>
      </w:r>
      <w:r w:rsidR="00BB1413"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作的系列决策部署，按照《喀什地区常态化工作暂行办法（试行）》和重点单位</w:t>
      </w:r>
      <w:bookmarkStart w:id="1" w:name="_GoBack"/>
      <w:bookmarkEnd w:id="1"/>
      <w:r>
        <w:rPr>
          <w:rFonts w:ascii="仿宋_GB2312" w:eastAsia="仿宋_GB2312" w:hAnsi="仿宋" w:cs="宋体" w:hint="eastAsia"/>
          <w:bCs/>
          <w:sz w:val="32"/>
          <w:szCs w:val="32"/>
          <w:lang w:bidi="ar"/>
        </w:rPr>
        <w:t>，确保军供站内军供保障工作按秩序开展，于2019年聘用3名，合同服务期限为1年，完善内部管理，全力保障，切实履行军供保障职责。</w:t>
      </w:r>
    </w:p>
    <w:p w:rsidR="001218F6" w:rsidRDefault="002227D6">
      <w:pPr>
        <w:pStyle w:val="2"/>
        <w:ind w:left="0" w:firstLineChars="200" w:firstLine="643"/>
        <w:rPr>
          <w:lang w:bidi="ar"/>
        </w:rPr>
      </w:pPr>
      <w:bookmarkStart w:id="2" w:name="_Toc26401550"/>
      <w:r>
        <w:rPr>
          <w:rFonts w:hint="eastAsia"/>
          <w:lang w:bidi="ar"/>
        </w:rPr>
        <w:t>资金</w:t>
      </w:r>
      <w:bookmarkEnd w:id="2"/>
      <w:r>
        <w:rPr>
          <w:rFonts w:hint="eastAsia"/>
          <w:lang w:bidi="ar"/>
        </w:rPr>
        <w:t>投入和使用情况</w:t>
      </w:r>
    </w:p>
    <w:p w:rsidR="001218F6" w:rsidRDefault="002227D6">
      <w:pPr>
        <w:spacing w:line="540" w:lineRule="exact"/>
        <w:ind w:firstLineChars="196" w:firstLine="627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本项目总投资14.4万元，资金来源为本级部门预算资金14.4万元。</w:t>
      </w:r>
    </w:p>
    <w:p w:rsidR="001218F6" w:rsidRDefault="002227D6">
      <w:pPr>
        <w:spacing w:line="540" w:lineRule="exact"/>
        <w:ind w:firstLineChars="196" w:firstLine="627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bookmarkStart w:id="3" w:name="_Toc26401551"/>
      <w:r>
        <w:rPr>
          <w:rFonts w:ascii="仿宋_GB2312" w:eastAsia="仿宋_GB2312" w:hAnsi="仿宋" w:cs="宋体" w:hint="eastAsia"/>
          <w:sz w:val="32"/>
          <w:szCs w:val="32"/>
          <w:lang w:bidi="ar"/>
        </w:rPr>
        <w:t>用于发放人员工资；2、一共3名；3、每个每个月发放4000元，共计14.4万元。</w:t>
      </w:r>
    </w:p>
    <w:p w:rsidR="001218F6" w:rsidRDefault="002227D6">
      <w:pPr>
        <w:pStyle w:val="2"/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绩效目标</w:t>
      </w:r>
      <w:bookmarkEnd w:id="3"/>
    </w:p>
    <w:p w:rsidR="001218F6" w:rsidRDefault="00C06720">
      <w:pPr>
        <w:spacing w:line="540" w:lineRule="exact"/>
        <w:ind w:firstLineChars="196" w:firstLine="627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 xml:space="preserve">总体目标为：一是： </w:t>
      </w:r>
      <w:r w:rsidR="002227D6">
        <w:rPr>
          <w:rFonts w:ascii="仿宋_GB2312" w:eastAsia="仿宋_GB2312" w:hAnsi="仿宋" w:cs="宋体" w:hint="eastAsia"/>
          <w:sz w:val="32"/>
          <w:szCs w:val="32"/>
          <w:lang w:bidi="ar"/>
        </w:rPr>
        <w:t>3名人员，每天三班倒换，每班8小时工作制。二是：确保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单位正常运行</w:t>
      </w:r>
      <w:r w:rsidR="002227D6">
        <w:rPr>
          <w:rFonts w:ascii="仿宋_GB2312" w:eastAsia="仿宋_GB2312" w:hAnsi="仿宋" w:cs="宋体" w:hint="eastAsia"/>
          <w:sz w:val="32"/>
          <w:szCs w:val="32"/>
          <w:lang w:bidi="ar"/>
        </w:rPr>
        <w:t>。</w:t>
      </w:r>
    </w:p>
    <w:p w:rsidR="001218F6" w:rsidRDefault="002227D6" w:rsidP="00C06720">
      <w:pPr>
        <w:spacing w:beforeLines="50" w:before="120" w:line="600" w:lineRule="exact"/>
        <w:rPr>
          <w:rFonts w:ascii="仿宋_GB2312" w:eastAsia="仿宋_GB2312" w:hAnsi="仿宋" w:cs="宋体"/>
          <w:color w:val="FF0000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" w:cs="宋体"/>
          <w:sz w:val="32"/>
          <w:szCs w:val="32"/>
          <w:lang w:bidi="ar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项目共设置</w:t>
      </w:r>
      <w:r>
        <w:rPr>
          <w:rFonts w:ascii="仿宋_GB2312" w:eastAsia="仿宋_GB2312" w:hAnsi="仿宋" w:cs="宋体"/>
          <w:sz w:val="32"/>
          <w:szCs w:val="32"/>
          <w:lang w:bidi="ar"/>
        </w:rPr>
        <w:t>1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级指标3个，二级指标7个，三级指标10个，绩效目标申报表详见附件1。</w:t>
      </w:r>
    </w:p>
    <w:p w:rsidR="001218F6" w:rsidRDefault="002227D6">
      <w:pPr>
        <w:pStyle w:val="11"/>
        <w:numPr>
          <w:ilvl w:val="0"/>
          <w:numId w:val="3"/>
        </w:numPr>
        <w:ind w:firstLineChars="0"/>
        <w:rPr>
          <w:lang w:bidi="ar"/>
        </w:rPr>
      </w:pPr>
      <w:bookmarkStart w:id="4" w:name="_Toc26401552"/>
      <w:r>
        <w:rPr>
          <w:rFonts w:hint="eastAsia"/>
          <w:lang w:bidi="ar"/>
        </w:rPr>
        <w:lastRenderedPageBreak/>
        <w:t>评价工作简述</w:t>
      </w:r>
      <w:bookmarkEnd w:id="4"/>
    </w:p>
    <w:p w:rsidR="001218F6" w:rsidRDefault="002227D6">
      <w:pPr>
        <w:pStyle w:val="2"/>
        <w:numPr>
          <w:ilvl w:val="0"/>
          <w:numId w:val="4"/>
        </w:numPr>
        <w:ind w:left="0" w:firstLineChars="200" w:firstLine="643"/>
        <w:rPr>
          <w:lang w:bidi="ar"/>
        </w:rPr>
      </w:pPr>
      <w:bookmarkStart w:id="5" w:name="_Toc26401553"/>
      <w:r>
        <w:rPr>
          <w:rFonts w:hint="eastAsia"/>
          <w:lang w:bidi="ar"/>
        </w:rPr>
        <w:t>评价目的</w:t>
      </w:r>
      <w:bookmarkEnd w:id="5"/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eastAsia="仿宋_GB2312" w:hAnsi="仿宋" w:cs="宋体"/>
          <w:sz w:val="32"/>
          <w:szCs w:val="32"/>
          <w:lang w:bidi="ar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旨在评价专项业务工作经费实施前期、过程及效果，评价财政预算资金使用的效率及效益。</w:t>
      </w:r>
    </w:p>
    <w:p w:rsidR="001218F6" w:rsidRDefault="002227D6">
      <w:pPr>
        <w:pStyle w:val="2"/>
        <w:numPr>
          <w:ilvl w:val="0"/>
          <w:numId w:val="4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6" w:name="_Toc26401554"/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/>
          <w:sz w:val="32"/>
          <w:szCs w:val="32"/>
          <w:lang w:bidi="ar"/>
        </w:rPr>
        <w:t>本次评价对象为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专项业务工作经费</w:t>
      </w:r>
      <w:r>
        <w:rPr>
          <w:rFonts w:ascii="仿宋_GB2312" w:eastAsia="仿宋_GB2312" w:hAnsi="仿宋" w:cs="宋体"/>
          <w:sz w:val="32"/>
          <w:szCs w:val="32"/>
          <w:lang w:bidi="ar"/>
        </w:rPr>
        <w:t>资金，评价范围包括专项资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金的安排、组织及使用效益。</w:t>
      </w:r>
    </w:p>
    <w:p w:rsidR="001218F6" w:rsidRDefault="002227D6">
      <w:pPr>
        <w:pStyle w:val="2"/>
        <w:numPr>
          <w:ilvl w:val="0"/>
          <w:numId w:val="4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绩效评价原则</w:t>
      </w:r>
      <w:bookmarkEnd w:id="6"/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本次绩效评价遵循的原则包括：</w:t>
      </w:r>
    </w:p>
    <w:p w:rsidR="001218F6" w:rsidRDefault="002227D6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  <w:lang w:bidi="ar"/>
        </w:rPr>
      </w:pPr>
      <w:r>
        <w:rPr>
          <w:rFonts w:hAnsi="仿宋" w:cs="宋体" w:hint="eastAsia"/>
          <w:b w:val="0"/>
          <w:lang w:bidi="ar"/>
        </w:rPr>
        <w:t>科学公正。绩效评价应当运用科学合理的方法，按照规范的程序，对项目绩效进行客观、公正的反映。</w:t>
      </w:r>
    </w:p>
    <w:p w:rsidR="001218F6" w:rsidRDefault="002227D6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  <w:lang w:bidi="ar"/>
        </w:rPr>
      </w:pPr>
      <w:r>
        <w:rPr>
          <w:rFonts w:hAnsi="仿宋" w:cs="宋体" w:hint="eastAsia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 w:rsidR="001218F6" w:rsidRDefault="002227D6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  <w:lang w:bidi="ar"/>
        </w:rPr>
      </w:pPr>
      <w:r>
        <w:rPr>
          <w:rFonts w:hAnsi="仿宋" w:cs="宋体" w:hint="eastAsia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1218F6" w:rsidRDefault="002227D6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  <w:lang w:bidi="ar"/>
        </w:rPr>
      </w:pPr>
      <w:r>
        <w:rPr>
          <w:rFonts w:hAnsi="仿宋" w:cs="宋体" w:hint="eastAsia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 w:rsidR="001218F6" w:rsidRDefault="002227D6">
      <w:pPr>
        <w:pStyle w:val="2"/>
        <w:numPr>
          <w:ilvl w:val="0"/>
          <w:numId w:val="4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lastRenderedPageBreak/>
        <w:t>本项目绩效评价体系</w:t>
      </w:r>
    </w:p>
    <w:p w:rsidR="001218F6" w:rsidRDefault="002227D6">
      <w:pPr>
        <w:pStyle w:val="2"/>
        <w:numPr>
          <w:ilvl w:val="0"/>
          <w:numId w:val="0"/>
        </w:numPr>
        <w:ind w:firstLineChars="200" w:firstLine="64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ascii="仿宋" w:eastAsia="仿宋" w:hAnsi="仿宋" w:hint="eastAsia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ascii="仿宋" w:eastAsia="仿宋" w:hAnsi="仿宋" w:hint="eastAsia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号共性指标及个性化指标设置，详见附件2。</w:t>
      </w:r>
    </w:p>
    <w:p w:rsidR="001218F6" w:rsidRDefault="002227D6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  <w:rPr>
          <w:lang w:bidi="ar"/>
        </w:rPr>
      </w:pPr>
      <w:bookmarkStart w:id="7" w:name="_Toc26401555"/>
      <w:r>
        <w:rPr>
          <w:rFonts w:hint="eastAsia"/>
          <w:lang w:bidi="ar"/>
        </w:rPr>
        <w:t>绩效评价方法</w:t>
      </w:r>
      <w:bookmarkEnd w:id="7"/>
    </w:p>
    <w:p w:rsidR="001218F6" w:rsidRDefault="002227D6" w:rsidP="00C06720">
      <w:pPr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本次绩效评价方法的选用坚持简便有效的原则采用综合指数评价法、问卷调查法、综合分析法。</w:t>
      </w:r>
    </w:p>
    <w:p w:rsidR="001218F6" w:rsidRDefault="002227D6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评价标准</w:t>
      </w:r>
    </w:p>
    <w:p w:rsidR="001218F6" w:rsidRDefault="002227D6">
      <w:pPr>
        <w:pStyle w:val="2"/>
        <w:keepNext w:val="0"/>
        <w:keepLines w:val="0"/>
        <w:numPr>
          <w:ilvl w:val="0"/>
          <w:numId w:val="0"/>
        </w:numPr>
        <w:rPr>
          <w:b w:val="0"/>
          <w:bCs w:val="0"/>
          <w:lang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b w:val="0"/>
          <w:bCs w:val="0"/>
          <w:lang w:bidi="ar"/>
        </w:rPr>
        <w:t>项目评价标准采用</w:t>
      </w:r>
      <w:r>
        <w:rPr>
          <w:rFonts w:hint="eastAsia"/>
          <w:b w:val="0"/>
          <w:bCs w:val="0"/>
        </w:rPr>
        <w:t>计划标准、行业标准、历史标准</w:t>
      </w:r>
    </w:p>
    <w:p w:rsidR="001218F6" w:rsidRDefault="002227D6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绩效评价工作过程</w:t>
      </w:r>
    </w:p>
    <w:p w:rsidR="001218F6" w:rsidRDefault="002227D6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a7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218F6">
        <w:trPr>
          <w:jc w:val="center"/>
        </w:trPr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 w:rsidR="001218F6">
        <w:trPr>
          <w:jc w:val="center"/>
        </w:trPr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常宁</w:t>
            </w:r>
          </w:p>
        </w:tc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proofErr w:type="gramStart"/>
            <w:r>
              <w:rPr>
                <w:rFonts w:hint="eastAsia"/>
                <w:b w:val="0"/>
                <w:bCs w:val="0"/>
                <w:lang w:bidi="ar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  <w:lang w:bidi="ar"/>
              </w:rPr>
              <w:t>组长</w:t>
            </w:r>
          </w:p>
        </w:tc>
        <w:tc>
          <w:tcPr>
            <w:tcW w:w="2766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副站长</w:t>
            </w:r>
          </w:p>
        </w:tc>
      </w:tr>
      <w:tr w:rsidR="001218F6">
        <w:trPr>
          <w:jc w:val="center"/>
        </w:trPr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高永军</w:t>
            </w:r>
          </w:p>
        </w:tc>
        <w:tc>
          <w:tcPr>
            <w:tcW w:w="2765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proofErr w:type="gramStart"/>
            <w:r>
              <w:rPr>
                <w:rFonts w:hint="eastAsia"/>
                <w:b w:val="0"/>
                <w:bCs w:val="0"/>
                <w:lang w:bidi="ar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  <w:lang w:bidi="ar"/>
              </w:rPr>
              <w:t>成员</w:t>
            </w:r>
          </w:p>
        </w:tc>
        <w:tc>
          <w:tcPr>
            <w:tcW w:w="2766" w:type="dxa"/>
            <w:vAlign w:val="center"/>
          </w:tcPr>
          <w:p w:rsidR="001218F6" w:rsidRDefault="002227D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办公室主任</w:t>
            </w:r>
          </w:p>
        </w:tc>
      </w:tr>
      <w:tr w:rsidR="001218F6">
        <w:trPr>
          <w:jc w:val="center"/>
        </w:trPr>
        <w:tc>
          <w:tcPr>
            <w:tcW w:w="2765" w:type="dxa"/>
            <w:vAlign w:val="center"/>
          </w:tcPr>
          <w:p w:rsidR="001218F6" w:rsidRDefault="001218F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  <w:tc>
          <w:tcPr>
            <w:tcW w:w="2765" w:type="dxa"/>
            <w:vAlign w:val="center"/>
          </w:tcPr>
          <w:p w:rsidR="001218F6" w:rsidRDefault="001218F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  <w:tc>
          <w:tcPr>
            <w:tcW w:w="2766" w:type="dxa"/>
            <w:vAlign w:val="center"/>
          </w:tcPr>
          <w:p w:rsidR="001218F6" w:rsidRDefault="001218F6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</w:tbl>
    <w:p w:rsidR="001218F6" w:rsidRDefault="002227D6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1218F6" w:rsidRDefault="002227D6">
      <w:pPr>
        <w:pStyle w:val="11"/>
        <w:ind w:left="643" w:firstLineChars="0" w:firstLine="0"/>
        <w:rPr>
          <w:color w:val="FF0000"/>
          <w:lang w:bidi="ar"/>
        </w:rPr>
      </w:pPr>
      <w:bookmarkStart w:id="8" w:name="_Toc26401558"/>
      <w:r>
        <w:rPr>
          <w:rFonts w:ascii="黑体" w:hAnsi="黑体" w:hint="eastAsia"/>
        </w:rPr>
        <w:lastRenderedPageBreak/>
        <w:t>三、综合评价情况及评价结论</w:t>
      </w:r>
    </w:p>
    <w:p w:rsidR="001218F6" w:rsidRDefault="002227D6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  <w:highlight w:val="yellow"/>
          <w:lang w:bidi="ar"/>
        </w:rPr>
      </w:pPr>
      <w:r>
        <w:rPr>
          <w:rFonts w:ascii="仿宋_GB2312" w:eastAsia="仿宋_GB2312" w:hAnsiTheme="majorHAnsi" w:hint="eastAsia"/>
          <w:b w:val="0"/>
          <w:bCs w:val="0"/>
          <w:kern w:val="2"/>
          <w:lang w:bidi="ar"/>
        </w:rPr>
        <w:t>经</w:t>
      </w:r>
      <w:proofErr w:type="gramStart"/>
      <w:r>
        <w:rPr>
          <w:rFonts w:ascii="仿宋_GB2312" w:eastAsia="仿宋_GB2312" w:hAnsiTheme="majorHAnsi" w:hint="eastAsia"/>
          <w:b w:val="0"/>
          <w:bCs w:val="0"/>
          <w:kern w:val="2"/>
          <w:lang w:bidi="ar"/>
        </w:rPr>
        <w:t>评价组</w:t>
      </w:r>
      <w:proofErr w:type="gramEnd"/>
      <w:r>
        <w:rPr>
          <w:rFonts w:ascii="仿宋_GB2312" w:eastAsia="仿宋_GB2312" w:hAnsiTheme="majorHAnsi" w:hint="eastAsia"/>
          <w:b w:val="0"/>
          <w:bCs w:val="0"/>
          <w:kern w:val="2"/>
          <w:lang w:bidi="ar"/>
        </w:rPr>
        <w:t>通过实地调研、资料分析等方式，采用综合分析法、成本效益分析法、最低成本法、标杆管理法（根据实际情况去留）等对项目的决策、管理、绩效进行的综合评价分析，项目得分为91分，评价结果为优，详见附件6。</w:t>
      </w:r>
    </w:p>
    <w:p w:rsidR="001218F6" w:rsidRDefault="002227D6">
      <w:pPr>
        <w:pStyle w:val="11"/>
        <w:ind w:left="643" w:firstLineChars="0" w:firstLine="0"/>
        <w:rPr>
          <w:lang w:bidi="ar"/>
        </w:rPr>
      </w:pPr>
      <w:r>
        <w:rPr>
          <w:rFonts w:hint="eastAsia"/>
          <w:lang w:bidi="ar"/>
        </w:rPr>
        <w:t>四、绩效评价指标分析</w:t>
      </w:r>
      <w:bookmarkEnd w:id="8"/>
    </w:p>
    <w:p w:rsidR="001218F6" w:rsidRDefault="002227D6" w:rsidP="00C06720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  <w:lang w:bidi="ar"/>
        </w:rPr>
        <w:t>项目的决策情况</w:t>
      </w:r>
    </w:p>
    <w:p w:rsidR="001218F6" w:rsidRDefault="002227D6">
      <w:pPr>
        <w:pStyle w:val="ab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ascii="仿宋_GB2312" w:hAnsi="仿宋" w:cs="宋体" w:hint="eastAsia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本项目的立项符合相关法规政策及部门职责，依据充分；项目按照规定的程序申请设立；审批文件、材料符合相关要求；项目前期已经过必要的可行性研究、风险评估、绩效评估、集体决策。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</w:t>
      </w:r>
      <w:proofErr w:type="gramStart"/>
      <w:r>
        <w:rPr>
          <w:rFonts w:ascii="仿宋_GB2312" w:eastAsia="仿宋_GB2312" w:hAnsi="仿宋" w:cs="宋体" w:hint="eastAsia"/>
          <w:sz w:val="32"/>
          <w:szCs w:val="32"/>
          <w:lang w:bidi="ar"/>
        </w:rPr>
        <w:t>值予以</w:t>
      </w:r>
      <w:proofErr w:type="gramEnd"/>
      <w:r>
        <w:rPr>
          <w:rFonts w:ascii="仿宋_GB2312" w:eastAsia="仿宋_GB2312" w:hAnsi="仿宋" w:cs="宋体" w:hint="eastAsia"/>
          <w:sz w:val="32"/>
          <w:szCs w:val="32"/>
          <w:lang w:bidi="ar"/>
        </w:rPr>
        <w:t>体现；与项目目标任务数或计划数相对应。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项目在资金投入方面，预算编制经过科学论证、有明确标准，资金额度与年度目标是适应，用以反映和考核项目预算编制的科学性、合理性情况。项目预算资金分配有测算依据，与补助单位或地方实际相适应。</w:t>
      </w:r>
    </w:p>
    <w:p w:rsidR="001218F6" w:rsidRDefault="002227D6" w:rsidP="00C06720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  <w:lang w:bidi="ar"/>
        </w:rPr>
        <w:t>项目的过程情况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在资金管理方面，项目资金到位足额及时，及时支付，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lastRenderedPageBreak/>
        <w:t>资金使用符合国家法规和财务管理制度；资金拨付有完整的审批程序和手续，符合项目预算批复或合同规定的用途；不存在截留、挤占、挪用、虚列支出等情况。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在项目组织实施方面，项目单位已制定或具有相应的财务和业务管理制度，财务和业务管理制度合法、合</w:t>
      </w:r>
      <w:proofErr w:type="gramStart"/>
      <w:r>
        <w:rPr>
          <w:rFonts w:ascii="仿宋_GB2312" w:eastAsia="仿宋_GB2312" w:hAnsi="仿宋" w:cs="宋体" w:hint="eastAsia"/>
          <w:sz w:val="32"/>
          <w:szCs w:val="32"/>
          <w:lang w:bidi="ar"/>
        </w:rPr>
        <w:t>规</w:t>
      </w:r>
      <w:proofErr w:type="gramEnd"/>
      <w:r>
        <w:rPr>
          <w:rFonts w:ascii="仿宋_GB2312" w:eastAsia="仿宋_GB2312" w:hAnsi="仿宋" w:cs="宋体" w:hint="eastAsia"/>
          <w:sz w:val="32"/>
          <w:szCs w:val="32"/>
          <w:lang w:bidi="ar"/>
        </w:rPr>
        <w:t>、完整。项目实施遵守相关法律法规和相关管理规定。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 w:rsidR="001218F6" w:rsidRDefault="002227D6" w:rsidP="00C06720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  <w:lang w:bidi="ar"/>
        </w:rPr>
        <w:t>项目产出情况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项目产出数量人数，预期指标是3人，实际完成值是3人，指标达到预期目标。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项目产出质量为人员完成率，预期指标是100%，实际完成值是100%，指标达到预期目标。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项目产出时效为工资发放及时率，预期指标是100%，实际完成值是100%，指标达到预期目标。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项目产出成本指标为专职安全保卫人员每月费用，预期指标是4000元/月/人，实际完成值是4000元/月/人，达到预期目标。</w:t>
      </w:r>
    </w:p>
    <w:p w:rsidR="001218F6" w:rsidRDefault="002227D6" w:rsidP="00C06720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  <w:lang w:bidi="ar"/>
        </w:rPr>
        <w:t>项目效益情况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/>
          <w:bCs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项目实施产生的经济效益指标无。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项目实施产生的社会效益指标为军供站内及周边能力和治安水平，预期指标是长期，实际完成值是长期，指标达到预期目标。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lastRenderedPageBreak/>
        <w:t>项目实施产生的生态效益指标为无。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项目的可持续效益效益指标为社会总体治安提高，预期指标是长期，实际完成值是长期，指标达到预期目标。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经问卷调查，项目收益群众满意度为95%，达到了预期目标。</w:t>
      </w:r>
    </w:p>
    <w:p w:rsidR="001218F6" w:rsidRDefault="002227D6">
      <w:pPr>
        <w:pStyle w:val="11"/>
        <w:ind w:firstLine="643"/>
        <w:rPr>
          <w:lang w:bidi="ar"/>
        </w:rPr>
      </w:pPr>
      <w:r>
        <w:rPr>
          <w:rFonts w:ascii="黑体" w:hAnsi="黑体" w:hint="eastAsia"/>
        </w:rPr>
        <w:t>五、主要经验及做法、存在的问题及原因分析</w:t>
      </w:r>
    </w:p>
    <w:p w:rsidR="001218F6" w:rsidRDefault="002227D6">
      <w:pPr>
        <w:pStyle w:val="2"/>
        <w:numPr>
          <w:ilvl w:val="0"/>
          <w:numId w:val="7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主要经验及做法</w:t>
      </w:r>
    </w:p>
    <w:p w:rsidR="001218F6" w:rsidRDefault="002227D6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通过预算绩效管理，总结了工作中的较好的经验，本项目管理按照单位的日常管理流程，在军供保障方面建立登记台账等制度，采取由各部门按需申请，办公室统一安排汇总，单位开会集体研究管理办法，进行日常监督检查。</w:t>
      </w:r>
    </w:p>
    <w:p w:rsidR="001218F6" w:rsidRDefault="002227D6">
      <w:pPr>
        <w:pStyle w:val="2"/>
        <w:numPr>
          <w:ilvl w:val="0"/>
          <w:numId w:val="7"/>
        </w:numPr>
        <w:ind w:left="0" w:firstLineChars="200" w:firstLine="643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 w:rsidR="001218F6" w:rsidRDefault="002227D6">
      <w:pPr>
        <w:pStyle w:val="2"/>
        <w:numPr>
          <w:ilvl w:val="0"/>
          <w:numId w:val="0"/>
        </w:numPr>
        <w:ind w:firstLine="640"/>
        <w:rPr>
          <w:b w:val="0"/>
          <w:lang w:bidi="ar"/>
        </w:rPr>
      </w:pPr>
      <w:r>
        <w:rPr>
          <w:rFonts w:hint="eastAsia"/>
          <w:b w:val="0"/>
          <w:lang w:bidi="ar"/>
        </w:rPr>
        <w:t>问题：做了一下调整，但还是3人。</w:t>
      </w:r>
    </w:p>
    <w:p w:rsidR="001218F6" w:rsidRDefault="002227D6">
      <w:pPr>
        <w:pStyle w:val="2"/>
        <w:numPr>
          <w:ilvl w:val="0"/>
          <w:numId w:val="0"/>
        </w:numPr>
        <w:ind w:firstLine="640"/>
        <w:rPr>
          <w:b w:val="0"/>
          <w:lang w:bidi="ar"/>
        </w:rPr>
      </w:pPr>
      <w:r>
        <w:rPr>
          <w:rFonts w:hint="eastAsia"/>
          <w:b w:val="0"/>
          <w:lang w:bidi="ar"/>
        </w:rPr>
        <w:t>原因分析：我们单位由原来的地区民政局改到了地区退役军人事务局。</w:t>
      </w:r>
    </w:p>
    <w:p w:rsidR="001218F6" w:rsidRDefault="002227D6">
      <w:pPr>
        <w:pStyle w:val="11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</w:rPr>
        <w:t>六、有关建议</w:t>
      </w:r>
    </w:p>
    <w:p w:rsidR="001218F6" w:rsidRDefault="002227D6">
      <w:pPr>
        <w:adjustRightInd w:val="0"/>
        <w:snapToGrid w:val="0"/>
        <w:spacing w:line="560" w:lineRule="exact"/>
        <w:ind w:firstLineChars="200" w:firstLine="420"/>
        <w:rPr>
          <w:rFonts w:ascii="黑体" w:hAnsi="黑体"/>
        </w:rPr>
      </w:pPr>
      <w:r>
        <w:rPr>
          <w:rFonts w:ascii="黑体" w:hAnsi="黑体"/>
        </w:rPr>
        <w:t xml:space="preserve"> </w:t>
      </w:r>
      <w:r>
        <w:rPr>
          <w:rFonts w:ascii="仿宋_GB2312" w:eastAsia="仿宋_GB2312" w:hAnsi="仿宋" w:cs="宋体"/>
          <w:lang w:bidi="ar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年初做好资金计划，按照项目进度及时拨付资金，使资金使用效益最大化，减少不必要的浪费，节约成本。</w:t>
      </w:r>
    </w:p>
    <w:p w:rsidR="001218F6" w:rsidRDefault="002227D6">
      <w:pPr>
        <w:pStyle w:val="11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</w:rPr>
        <w:t>七、其他需要说明的问题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无其他说明内容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附件1：喀什军用饮食供应站专业经费支出绩效目标申报表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附件2：</w:t>
      </w:r>
      <w:r>
        <w:rPr>
          <w:rFonts w:ascii="仿宋_GB2312" w:eastAsia="仿宋_GB2312" w:hAnsi="仿宋" w:cs="宋体" w:hint="eastAsia"/>
          <w:sz w:val="32"/>
          <w:szCs w:val="32"/>
          <w:lang w:bidi="ar"/>
        </w:rPr>
        <w:t>喀什军用饮食供应站专业经费</w:t>
      </w:r>
      <w:r>
        <w:rPr>
          <w:rFonts w:ascii="仿宋_GB2312" w:eastAsia="仿宋_GB2312" w:hAnsi="仿宋" w:cs="宋体" w:hint="eastAsia"/>
          <w:sz w:val="32"/>
          <w:szCs w:val="32"/>
        </w:rPr>
        <w:t>支出绩效目标表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附件3：喀什军用饮食供应站专业经费支出绩效自评表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附件4：喀什军用饮食供应站专业经费支出绩效评价指标体系</w:t>
      </w:r>
    </w:p>
    <w:p w:rsidR="001218F6" w:rsidRDefault="002227D6" w:rsidP="00C06720">
      <w:pPr>
        <w:spacing w:beforeLines="50" w:before="120" w:line="600" w:lineRule="exact"/>
        <w:ind w:firstLineChars="200" w:firstLine="640"/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附件5：绩效评价依据</w:t>
      </w:r>
    </w:p>
    <w:p w:rsidR="001218F6" w:rsidRDefault="002227D6" w:rsidP="00C06720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  <w:lang w:bidi="ar"/>
        </w:rPr>
      </w:pPr>
      <w:r>
        <w:rPr>
          <w:rFonts w:ascii="仿宋_GB2312" w:eastAsia="仿宋_GB2312" w:hAnsi="仿宋" w:cs="宋体" w:hint="eastAsia"/>
          <w:sz w:val="32"/>
          <w:szCs w:val="32"/>
          <w:lang w:bidi="ar"/>
        </w:rPr>
        <w:t>附件6：喀什军用饮食供应站专业经费支出绩效评价评分表</w:t>
      </w:r>
    </w:p>
    <w:p w:rsidR="001218F6" w:rsidRDefault="001218F6" w:rsidP="001218F6">
      <w:pPr>
        <w:spacing w:beforeLines="50" w:before="120" w:line="600" w:lineRule="exact"/>
        <w:rPr>
          <w:rFonts w:ascii="仿宋_GB2312" w:eastAsia="仿宋_GB2312" w:hAnsi="仿宋" w:cs="宋体"/>
          <w:sz w:val="32"/>
          <w:szCs w:val="32"/>
          <w:lang w:bidi="ar"/>
        </w:rPr>
      </w:pPr>
    </w:p>
    <w:sectPr w:rsidR="001218F6">
      <w:footerReference w:type="default" r:id="rId10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E1" w:rsidRDefault="003A58E1">
      <w:r>
        <w:separator/>
      </w:r>
    </w:p>
  </w:endnote>
  <w:endnote w:type="continuationSeparator" w:id="0">
    <w:p w:rsidR="003A58E1" w:rsidRDefault="003A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F6" w:rsidRDefault="001218F6">
    <w:pPr>
      <w:pStyle w:val="a4"/>
      <w:jc w:val="center"/>
    </w:pPr>
  </w:p>
  <w:p w:rsidR="001218F6" w:rsidRDefault="001218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E1" w:rsidRDefault="003A58E1">
      <w:r>
        <w:separator/>
      </w:r>
    </w:p>
  </w:footnote>
  <w:footnote w:type="continuationSeparator" w:id="0">
    <w:p w:rsidR="003A58E1" w:rsidRDefault="003A5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0"/>
  <w:drawingGridHorizontalSpacing w:val="210"/>
  <w:drawingGridVerticalSpacing w:val="158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18F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227D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A58E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B1413"/>
    <w:rsid w:val="00BC7696"/>
    <w:rsid w:val="00C06720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77167"/>
    <w:rsid w:val="00FB2E2F"/>
    <w:rsid w:val="00FD300A"/>
    <w:rsid w:val="00FF137F"/>
    <w:rsid w:val="00FF6959"/>
    <w:rsid w:val="00FF6C14"/>
    <w:rsid w:val="01BE6316"/>
    <w:rsid w:val="08F07DFA"/>
    <w:rsid w:val="091B477B"/>
    <w:rsid w:val="0D0B1B16"/>
    <w:rsid w:val="24380196"/>
    <w:rsid w:val="24E73B1F"/>
    <w:rsid w:val="26F03C06"/>
    <w:rsid w:val="2A547683"/>
    <w:rsid w:val="37D94B3B"/>
    <w:rsid w:val="3B237672"/>
    <w:rsid w:val="41D047B7"/>
    <w:rsid w:val="435A1A2B"/>
    <w:rsid w:val="4422302A"/>
    <w:rsid w:val="4E3D5727"/>
    <w:rsid w:val="50D1655A"/>
    <w:rsid w:val="55787A96"/>
    <w:rsid w:val="56C419EE"/>
    <w:rsid w:val="59115E1D"/>
    <w:rsid w:val="59886F95"/>
    <w:rsid w:val="5CA43F6D"/>
    <w:rsid w:val="5E6670B1"/>
    <w:rsid w:val="63891EE9"/>
    <w:rsid w:val="667765BF"/>
    <w:rsid w:val="6B7D7492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标题1"/>
    <w:basedOn w:val="1"/>
    <w:qFormat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b"/>
    <w:qFormat/>
    <w:rPr>
      <w:rFonts w:ascii="Times New Roman" w:eastAsia="仿宋_GB2312" w:hAnsi="Times New Roman" w:cs="Times New Roman"/>
      <w:sz w:val="28"/>
      <w:szCs w:val="28"/>
    </w:rPr>
  </w:style>
  <w:style w:type="paragraph" w:customStyle="1" w:styleId="ab">
    <w:name w:val="闻政正文"/>
    <w:basedOn w:val="a"/>
    <w:link w:val="Char2"/>
    <w:qFormat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c"/>
    <w:qFormat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c">
    <w:name w:val="闻政表"/>
    <w:basedOn w:val="a"/>
    <w:link w:val="Char3"/>
    <w:qFormat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标题1"/>
    <w:basedOn w:val="1"/>
    <w:qFormat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b"/>
    <w:qFormat/>
    <w:rPr>
      <w:rFonts w:ascii="Times New Roman" w:eastAsia="仿宋_GB2312" w:hAnsi="Times New Roman" w:cs="Times New Roman"/>
      <w:sz w:val="28"/>
      <w:szCs w:val="28"/>
    </w:rPr>
  </w:style>
  <w:style w:type="paragraph" w:customStyle="1" w:styleId="ab">
    <w:name w:val="闻政正文"/>
    <w:basedOn w:val="a"/>
    <w:link w:val="Char2"/>
    <w:qFormat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c"/>
    <w:qFormat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c">
    <w:name w:val="闻政表"/>
    <w:basedOn w:val="a"/>
    <w:link w:val="Char3"/>
    <w:qFormat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E93566-977C-4FEA-97C3-F9C4F456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喀地财库-任雯</cp:lastModifiedBy>
  <cp:revision>97</cp:revision>
  <dcterms:created xsi:type="dcterms:W3CDTF">2019-11-22T05:12:00Z</dcterms:created>
  <dcterms:modified xsi:type="dcterms:W3CDTF">2020-10-19T03:23:00Z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