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color w:val="FF0000"/>
          <w:sz w:val="44"/>
          <w:szCs w:val="44"/>
        </w:rPr>
      </w:pPr>
      <w:bookmarkStart w:id="8" w:name="_GoBack"/>
      <w:bookmarkEnd w:id="8"/>
    </w:p>
    <w:p>
      <w:pPr>
        <w:spacing w:line="600" w:lineRule="exact"/>
        <w:jc w:val="center"/>
        <w:rPr>
          <w:rFonts w:ascii="方正小标宋简体" w:eastAsia="方正小标宋简体"/>
          <w:color w:val="FF0000"/>
          <w:sz w:val="44"/>
          <w:szCs w:val="44"/>
        </w:rPr>
      </w:pP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喀什地区社会保险管理局项目支出</w:t>
      </w: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绩效评价报告</w:t>
      </w:r>
    </w:p>
    <w:p>
      <w:pPr>
        <w:spacing w:line="600" w:lineRule="exact"/>
        <w:jc w:val="center"/>
        <w:rPr>
          <w:rFonts w:ascii="方正小标宋简体" w:eastAsia="方正小标宋简体"/>
          <w:sz w:val="52"/>
          <w:szCs w:val="52"/>
        </w:rPr>
      </w:pPr>
    </w:p>
    <w:p>
      <w:pPr>
        <w:spacing w:line="600" w:lineRule="exact"/>
        <w:jc w:val="center"/>
        <w:rPr>
          <w:rFonts w:ascii="方正小标宋简体" w:eastAsia="方正小标宋简体"/>
          <w:sz w:val="52"/>
          <w:szCs w:val="52"/>
        </w:rPr>
      </w:pPr>
    </w:p>
    <w:p>
      <w:pPr>
        <w:spacing w:line="600" w:lineRule="exact"/>
        <w:jc w:val="center"/>
        <w:rPr>
          <w:rFonts w:ascii="方正小标宋简体" w:eastAsia="方正小标宋简体"/>
          <w:sz w:val="52"/>
          <w:szCs w:val="52"/>
        </w:rPr>
      </w:pPr>
    </w:p>
    <w:p>
      <w:pPr>
        <w:spacing w:line="600" w:lineRule="exact"/>
        <w:jc w:val="center"/>
        <w:rPr>
          <w:rFonts w:ascii="方正小标宋简体" w:eastAsia="方正小标宋简体"/>
          <w:sz w:val="52"/>
          <w:szCs w:val="52"/>
        </w:rPr>
      </w:pPr>
    </w:p>
    <w:p>
      <w:pPr>
        <w:autoSpaceDE w:val="0"/>
        <w:autoSpaceDN w:val="0"/>
        <w:spacing w:line="600" w:lineRule="exact"/>
        <w:ind w:left="420" w:leftChars="200" w:firstLine="178" w:firstLineChars="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w:t>
      </w:r>
      <w:r>
        <w:rPr>
          <w:rFonts w:ascii="仿宋_GB2312" w:hAnsi="仿宋" w:eastAsia="仿宋_GB2312" w:cs="Times New Roman"/>
          <w:spacing w:val="-2"/>
          <w:sz w:val="36"/>
          <w:szCs w:val="36"/>
        </w:rPr>
        <w:t>2019年机关事业养老保险基金备用金</w:t>
      </w:r>
    </w:p>
    <w:p>
      <w:pPr>
        <w:autoSpaceDE w:val="0"/>
        <w:autoSpaceDN w:val="0"/>
        <w:spacing w:line="600" w:lineRule="exact"/>
        <w:ind w:left="420" w:leftChars="200" w:firstLine="178" w:firstLineChars="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实施单位：喀什地区社会保险管理局</w:t>
      </w:r>
    </w:p>
    <w:p>
      <w:pPr>
        <w:autoSpaceDE w:val="0"/>
        <w:autoSpaceDN w:val="0"/>
        <w:spacing w:line="600" w:lineRule="exact"/>
        <w:ind w:firstLine="534" w:firstLineChars="1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评价部门：喀什地区社会保险管理局</w:t>
      </w:r>
      <w:r>
        <w:rPr>
          <w:rFonts w:ascii="仿宋_GB2312" w:hAnsi="仿宋" w:eastAsia="仿宋_GB2312" w:cs="Times New Roman"/>
          <w:spacing w:val="-2"/>
          <w:sz w:val="36"/>
          <w:szCs w:val="36"/>
        </w:rPr>
        <w:t xml:space="preserve"> </w:t>
      </w:r>
    </w:p>
    <w:p>
      <w:pPr>
        <w:autoSpaceDE w:val="0"/>
        <w:autoSpaceDN w:val="0"/>
        <w:spacing w:line="600" w:lineRule="exact"/>
        <w:ind w:firstLine="712" w:firstLineChars="200"/>
        <w:rPr>
          <w:rFonts w:ascii="仿宋_GB2312" w:hAnsi="仿宋" w:eastAsia="仿宋_GB2312" w:cs="Times New Roman"/>
          <w:spacing w:val="-2"/>
          <w:sz w:val="36"/>
          <w:szCs w:val="36"/>
        </w:rPr>
      </w:pPr>
    </w:p>
    <w:p>
      <w:pPr>
        <w:autoSpaceDE w:val="0"/>
        <w:autoSpaceDN w:val="0"/>
        <w:spacing w:line="600" w:lineRule="exact"/>
        <w:ind w:firstLine="2136" w:firstLineChars="600"/>
        <w:rPr>
          <w:rFonts w:ascii="仿宋_GB2312" w:hAnsi="仿宋" w:eastAsia="仿宋_GB2312" w:cs="Times New Roman"/>
          <w:spacing w:val="-2"/>
          <w:sz w:val="36"/>
          <w:szCs w:val="36"/>
        </w:rPr>
      </w:pPr>
    </w:p>
    <w:p>
      <w:pPr>
        <w:autoSpaceDE w:val="0"/>
        <w:autoSpaceDN w:val="0"/>
        <w:spacing w:line="60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line="600" w:lineRule="exact"/>
        <w:jc w:val="left"/>
        <w:rPr>
          <w:sz w:val="28"/>
          <w:szCs w:val="28"/>
        </w:rPr>
      </w:pPr>
    </w:p>
    <w:p>
      <w:pPr>
        <w:spacing w:line="600" w:lineRule="exact"/>
        <w:jc w:val="center"/>
        <w:rPr>
          <w:rFonts w:ascii="方正小标宋简体" w:hAnsi="仿宋_GB2312" w:eastAsia="方正小标宋简体" w:cs="仿宋_GB2312"/>
          <w:kern w:val="0"/>
          <w:sz w:val="44"/>
          <w:szCs w:val="44"/>
          <w:shd w:val="clear" w:color="auto" w:fill="FFFFFF"/>
        </w:rPr>
      </w:pPr>
    </w:p>
    <w:p>
      <w:pPr>
        <w:spacing w:line="600" w:lineRule="exact"/>
        <w:jc w:val="center"/>
        <w:rPr>
          <w:rFonts w:hint="eastAsia" w:ascii="方正小标宋简体" w:hAnsi="仿宋_GB2312" w:eastAsia="方正小标宋简体" w:cs="仿宋_GB2312"/>
          <w:kern w:val="0"/>
          <w:sz w:val="44"/>
          <w:szCs w:val="44"/>
          <w:shd w:val="clear" w:color="auto" w:fill="FFFFFF"/>
        </w:rPr>
      </w:pPr>
    </w:p>
    <w:p>
      <w:pPr>
        <w:spacing w:line="600" w:lineRule="exact"/>
        <w:jc w:val="center"/>
        <w:rPr>
          <w:rFonts w:hint="eastAsia" w:ascii="方正小标宋简体" w:hAnsi="仿宋_GB2312" w:eastAsia="方正小标宋简体" w:cs="仿宋_GB2312"/>
          <w:kern w:val="0"/>
          <w:sz w:val="44"/>
          <w:szCs w:val="44"/>
          <w:shd w:val="clear" w:color="auto" w:fill="FFFFFF"/>
        </w:rPr>
      </w:pPr>
    </w:p>
    <w:p>
      <w:pPr>
        <w:spacing w:line="600" w:lineRule="exact"/>
        <w:jc w:val="center"/>
        <w:rPr>
          <w:rFonts w:hint="eastAsia" w:ascii="方正小标宋简体" w:hAnsi="仿宋_GB2312" w:eastAsia="方正小标宋简体" w:cs="仿宋_GB2312"/>
          <w:kern w:val="0"/>
          <w:sz w:val="44"/>
          <w:szCs w:val="44"/>
          <w:shd w:val="clear" w:color="auto" w:fill="FFFFFF"/>
        </w:rPr>
      </w:pPr>
    </w:p>
    <w:p>
      <w:pPr>
        <w:spacing w:line="600" w:lineRule="exact"/>
        <w:jc w:val="center"/>
        <w:rPr>
          <w:rFonts w:hint="eastAsia" w:ascii="方正小标宋简体" w:hAnsi="仿宋_GB2312" w:eastAsia="方正小标宋简体" w:cs="仿宋_GB2312"/>
          <w:kern w:val="0"/>
          <w:sz w:val="44"/>
          <w:szCs w:val="44"/>
          <w:shd w:val="clear" w:color="auto" w:fill="FFFFFF"/>
        </w:rPr>
      </w:pPr>
    </w:p>
    <w:p>
      <w:pPr>
        <w:spacing w:line="600" w:lineRule="exact"/>
        <w:jc w:val="center"/>
        <w:rPr>
          <w:rFonts w:ascii="方正小标宋简体" w:hAnsi="仿宋_GB2312" w:eastAsia="方正小标宋简体" w:cs="仿宋_GB2312"/>
          <w:kern w:val="0"/>
          <w:sz w:val="44"/>
          <w:szCs w:val="44"/>
          <w:shd w:val="clear" w:color="auto" w:fill="FFFFFF"/>
        </w:rPr>
      </w:pPr>
    </w:p>
    <w:p>
      <w:pPr>
        <w:pStyle w:val="21"/>
        <w:numPr>
          <w:ilvl w:val="0"/>
          <w:numId w:val="3"/>
        </w:numPr>
        <w:spacing w:before="0" w:after="0" w:line="600" w:lineRule="exact"/>
        <w:ind w:firstLineChars="0"/>
      </w:pPr>
      <w:r>
        <w:rPr>
          <w:rFonts w:hint="eastAsia"/>
        </w:rPr>
        <w:t>基本情况</w:t>
      </w:r>
    </w:p>
    <w:p>
      <w:pPr>
        <w:snapToGrid w:val="0"/>
        <w:spacing w:line="600" w:lineRule="exact"/>
        <w:ind w:firstLine="640" w:firstLineChars="200"/>
        <w:rPr>
          <w:rFonts w:ascii="楷体" w:hAnsi="楷体" w:eastAsia="楷体"/>
          <w:sz w:val="32"/>
          <w:szCs w:val="32"/>
        </w:rPr>
      </w:pPr>
      <w:r>
        <w:rPr>
          <w:rFonts w:hint="eastAsia" w:ascii="楷体" w:hAnsi="楷体" w:eastAsia="楷体"/>
          <w:sz w:val="32"/>
          <w:szCs w:val="32"/>
        </w:rPr>
        <w:t>1．单位主要职能：</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（一）贯彻执行社会保险政策法规，宣传各项社会保险政策，扩大参保覆盖面；指导县市社会保险管理服务中心规范化开展社会保险经办服务工作；</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（二）负责办理社会保险登记。受理参保对象的缴费申报，核定缴费额并确定用人单位工伤保险缴费费率；</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（三）负责建立管理参保人员缴费记录和社会保险待遇权益记录；</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（四）负责按规定办理参保对象养老保险、职业年金转移接续手续；</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（五）负责核算养老、工伤、失业保险、职业年金各项待遇；</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六）负责养老、工伤、失业保险、职业年金各项基金的支付与结算。编制社会保险基金预、决算草案，定期向社会公布各项基金的收入、支出、结余和收益情况；负责统计各项社会保险参保扩面情况并向社会公布；</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（七）负责开展并指导县市社会保险管理服务中心服务规范化、标准化建设；落实社会保险经办机构内部控制制度，对社保经办环节、操作流程、业务经办依法合规性、规范性进行指导检查；</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（八）负责建立管理用人单位和参保对象社会保险档案，并向社会提供查询和统计分析等档案利用服务；</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（九）负责全地区社会保险信息网络的规划、建设、管理、使用、维护、安全及升级等工作；</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（十）负责全地区社会保障卡经办服务工作；</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（十一）负责离、退休人员社会化管理服务，指导县市社保经办机构及企业单位规范化开展离退休人员社会化服务管理，做好退休人员享受社会保险待遇资格认证工作。</w:t>
      </w:r>
    </w:p>
    <w:p>
      <w:pPr>
        <w:autoSpaceDE w:val="0"/>
        <w:autoSpaceDN w:val="0"/>
        <w:spacing w:line="600" w:lineRule="exact"/>
        <w:ind w:left="420" w:leftChars="200" w:firstLine="158" w:firstLineChars="5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（十二）负责提供社会保险查询、咨询等相关服务，受理社会保险经办服务的举报、投诉。</w:t>
      </w:r>
    </w:p>
    <w:p>
      <w:pPr>
        <w:snapToGrid w:val="0"/>
        <w:spacing w:line="600" w:lineRule="exact"/>
        <w:ind w:firstLine="640" w:firstLineChars="200"/>
        <w:rPr>
          <w:rFonts w:ascii="楷体" w:hAnsi="楷体" w:eastAsia="楷体"/>
          <w:sz w:val="32"/>
          <w:szCs w:val="32"/>
        </w:rPr>
      </w:pPr>
      <w:r>
        <w:rPr>
          <w:rFonts w:hint="eastAsia" w:ascii="楷体" w:hAnsi="楷体" w:eastAsia="楷体"/>
          <w:sz w:val="32"/>
          <w:szCs w:val="32"/>
        </w:rPr>
        <w:t>2．编制情况：</w:t>
      </w:r>
    </w:p>
    <w:p>
      <w:pPr>
        <w:pStyle w:val="11"/>
        <w:shd w:val="clear" w:color="auto" w:fill="FFFFFF"/>
        <w:spacing w:before="0" w:beforeAutospacing="0" w:after="0" w:afterAutospacing="0" w:line="600" w:lineRule="exact"/>
        <w:ind w:firstLine="800" w:firstLineChars="250"/>
        <w:rPr>
          <w:rFonts w:ascii="仿宋_GB2312" w:hAnsi="仿宋" w:eastAsia="仿宋_GB2312"/>
          <w:kern w:val="2"/>
          <w:sz w:val="32"/>
          <w:szCs w:val="32"/>
        </w:rPr>
      </w:pPr>
      <w:r>
        <w:rPr>
          <w:rFonts w:hint="eastAsia" w:ascii="仿宋_GB2312" w:hAnsi="仿宋" w:eastAsia="仿宋_GB2312"/>
          <w:kern w:val="2"/>
          <w:sz w:val="32"/>
          <w:szCs w:val="32"/>
        </w:rPr>
        <w:t>编制人数61人，其中：参照公务员编制59人，工勤编制2人，编制数比上年减少12个，划到医保局12个编制。</w:t>
      </w:r>
    </w:p>
    <w:p>
      <w:pPr>
        <w:pStyle w:val="11"/>
        <w:shd w:val="clear" w:color="auto" w:fill="FFFFFF"/>
        <w:spacing w:before="0" w:beforeAutospacing="0" w:after="0" w:afterAutospacing="0" w:line="60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实有在职人数51 人，其中：参照公务员管理的事业单位人员 49人，工勤在职人数 2 人。离退休人员 29 人，其中：离休人员 0人，退休人员 29人。</w:t>
      </w:r>
    </w:p>
    <w:p>
      <w:pPr>
        <w:snapToGrid w:val="0"/>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实有人数与上年对比总人数减少15人。其中：参照公务员管理人员减少15人。</w:t>
      </w:r>
    </w:p>
    <w:p>
      <w:pPr>
        <w:pStyle w:val="23"/>
        <w:spacing w:before="0" w:after="0" w:line="600" w:lineRule="exact"/>
        <w:ind w:left="0" w:firstLine="643" w:firstLineChars="200"/>
      </w:pPr>
      <w:bookmarkStart w:id="0" w:name="_Toc26401549"/>
      <w:r>
        <w:rPr>
          <w:rFonts w:hint="eastAsia"/>
        </w:rPr>
        <w:t>项目概况</w:t>
      </w:r>
      <w:bookmarkEnd w:id="0"/>
    </w:p>
    <w:p>
      <w:pPr>
        <w:pStyle w:val="17"/>
        <w:numPr>
          <w:ilvl w:val="0"/>
          <w:numId w:val="4"/>
        </w:numPr>
        <w:spacing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Style w:val="11"/>
        <w:shd w:val="clear" w:color="auto" w:fill="FFFFFF"/>
        <w:spacing w:before="0" w:beforeAutospacing="0" w:after="0" w:afterAutospacing="0" w:line="600" w:lineRule="exact"/>
        <w:ind w:firstLine="800" w:firstLineChars="250"/>
        <w:rPr>
          <w:rFonts w:ascii="仿宋_GB2312" w:hAnsi="仿宋" w:eastAsia="仿宋_GB2312"/>
          <w:kern w:val="2"/>
          <w:sz w:val="32"/>
          <w:szCs w:val="32"/>
        </w:rPr>
      </w:pPr>
      <w:r>
        <w:rPr>
          <w:rFonts w:hint="eastAsia" w:ascii="仿宋_GB2312" w:hAnsi="仿宋" w:eastAsia="仿宋_GB2312"/>
          <w:kern w:val="2"/>
          <w:sz w:val="32"/>
          <w:szCs w:val="32"/>
        </w:rPr>
        <w:t>我局承担地直单位职工养老、失业、工伤等保险的申报、登记、个人账户管理等工作，以及保险待遇审核支付工作；对全地区</w:t>
      </w:r>
      <w:r>
        <w:rPr>
          <w:rFonts w:ascii="仿宋_GB2312" w:hAnsi="仿宋" w:eastAsia="仿宋_GB2312"/>
          <w:kern w:val="2"/>
          <w:sz w:val="32"/>
          <w:szCs w:val="32"/>
        </w:rPr>
        <w:t>12个县（市）社保经办机构，进行业务指导和基金监管。</w:t>
      </w:r>
      <w:r>
        <w:rPr>
          <w:rFonts w:hint="eastAsia" w:ascii="仿宋_GB2312" w:hAnsi="仿宋" w:eastAsia="仿宋_GB2312"/>
          <w:kern w:val="2"/>
          <w:sz w:val="32"/>
          <w:szCs w:val="32"/>
        </w:rPr>
        <w:t>根据《自治区人民政府关于自治区机关事业单位工作人员养老保险制度改革的实施意见》新政发【2015】105号精神，保障地区机关事业单位退休人员养老金待遇得到及时保障，该项目资金为备用金，共计3</w:t>
      </w:r>
      <w:r>
        <w:rPr>
          <w:rFonts w:ascii="仿宋_GB2312" w:hAnsi="仿宋" w:eastAsia="仿宋_GB2312"/>
          <w:kern w:val="2"/>
          <w:sz w:val="32"/>
          <w:szCs w:val="32"/>
        </w:rPr>
        <w:t>000</w:t>
      </w:r>
      <w:r>
        <w:rPr>
          <w:rFonts w:hint="eastAsia" w:ascii="仿宋_GB2312" w:hAnsi="仿宋" w:eastAsia="仿宋_GB2312"/>
          <w:kern w:val="2"/>
          <w:sz w:val="32"/>
          <w:szCs w:val="32"/>
        </w:rPr>
        <w:t>万元。</w:t>
      </w:r>
    </w:p>
    <w:p>
      <w:pPr>
        <w:pStyle w:val="11"/>
        <w:shd w:val="clear" w:color="auto" w:fill="FFFFFF"/>
        <w:spacing w:before="0" w:beforeAutospacing="0" w:after="0" w:afterAutospacing="0" w:line="600" w:lineRule="exact"/>
        <w:ind w:firstLine="800" w:firstLineChars="250"/>
        <w:rPr>
          <w:rFonts w:ascii="仿宋_GB2312" w:hAnsi="仿宋" w:eastAsia="仿宋_GB2312"/>
          <w:kern w:val="2"/>
          <w:sz w:val="32"/>
          <w:szCs w:val="32"/>
        </w:rPr>
      </w:pPr>
      <w:r>
        <w:rPr>
          <w:rFonts w:hint="eastAsia" w:ascii="仿宋_GB2312" w:hAnsi="仿宋" w:eastAsia="仿宋_GB2312"/>
          <w:kern w:val="2"/>
          <w:sz w:val="32"/>
          <w:szCs w:val="32"/>
        </w:rPr>
        <w:t>喀什地区本级机关事业单位共有14000余人缴费，缴费收入30326万元，符合领取待遇的退休人员6747人，人均待遇标准6300.83元，全年待遇支出50591万元，收支缺口2亿元。上级补助8192万，本级财政补贴5000万。保障退休人员待遇及时足额发放是国家一项重大民生工程，我们务必要将他做好，最大限度的惠及广大退休干部，该项目的实施，对于提高社会公共服务水平，提高退休人员的幸福感有很大的现实意义。</w:t>
      </w:r>
    </w:p>
    <w:p>
      <w:pPr>
        <w:pStyle w:val="11"/>
        <w:shd w:val="clear" w:color="auto" w:fill="FFFFFF"/>
        <w:spacing w:before="0" w:beforeAutospacing="0" w:after="0" w:afterAutospacing="0" w:line="600" w:lineRule="exact"/>
        <w:ind w:firstLine="800" w:firstLineChars="250"/>
        <w:rPr>
          <w:rFonts w:ascii="仿宋_GB2312" w:hAnsi="仿宋" w:eastAsia="仿宋_GB2312"/>
          <w:kern w:val="2"/>
          <w:sz w:val="32"/>
          <w:szCs w:val="32"/>
        </w:rPr>
      </w:pPr>
      <w:r>
        <w:rPr>
          <w:rFonts w:hint="eastAsia" w:ascii="仿宋_GB2312" w:hAnsi="仿宋" w:eastAsia="仿宋_GB2312"/>
          <w:kern w:val="2"/>
          <w:sz w:val="32"/>
          <w:szCs w:val="32"/>
        </w:rPr>
        <w:t>项目实施过程中，我单位建立了《喀什地区社保局收支管理内部控制制度》保障项目的顺利实施。项目的实施遵守相关法律法规和业务管理规定，项目资料齐全并及时装订、归档。不定期对项目进度情况进行督导检查，对检查过程中发现的问题及时督促整改，确保了项目按时保质完成。</w:t>
      </w:r>
    </w:p>
    <w:p>
      <w:pPr>
        <w:pStyle w:val="23"/>
        <w:spacing w:before="0" w:after="0" w:line="600" w:lineRule="exact"/>
        <w:ind w:left="0" w:firstLine="643" w:firstLineChars="200"/>
      </w:pPr>
      <w:bookmarkStart w:id="1" w:name="_Toc26401550"/>
      <w:r>
        <w:rPr>
          <w:rFonts w:hint="eastAsia"/>
        </w:rPr>
        <w:t>资金</w:t>
      </w:r>
      <w:bookmarkEnd w:id="1"/>
      <w:r>
        <w:rPr>
          <w:rFonts w:hint="eastAsia"/>
        </w:rPr>
        <w:t>投入和使用情况</w:t>
      </w:r>
    </w:p>
    <w:p>
      <w:pPr>
        <w:spacing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本项目总投资3000万元，资金来源为自治区专项资金3000万元。</w:t>
      </w:r>
    </w:p>
    <w:p>
      <w:pPr>
        <w:spacing w:line="600" w:lineRule="exact"/>
        <w:ind w:firstLine="645"/>
        <w:rPr>
          <w:rFonts w:ascii="仿宋_GB2312" w:hAnsi="仿宋" w:eastAsia="仿宋_GB2312" w:cs="宋体"/>
          <w:sz w:val="32"/>
          <w:szCs w:val="32"/>
        </w:rPr>
      </w:pPr>
      <w:r>
        <w:rPr>
          <w:rFonts w:ascii="仿宋_GB2312" w:hAnsi="仿宋" w:eastAsia="仿宋_GB2312" w:cs="宋体"/>
          <w:sz w:val="32"/>
          <w:szCs w:val="32"/>
        </w:rPr>
        <w:t>2019年机关事业养老保险基金备用金</w:t>
      </w:r>
      <w:r>
        <w:rPr>
          <w:rFonts w:hint="eastAsia" w:ascii="仿宋_GB2312" w:hAnsi="仿宋" w:eastAsia="仿宋_GB2312" w:cs="宋体"/>
          <w:sz w:val="32"/>
          <w:szCs w:val="32"/>
        </w:rPr>
        <w:t>项资金的使用范围：</w:t>
      </w:r>
      <w:r>
        <w:rPr>
          <w:rFonts w:ascii="仿宋_GB2312" w:hAnsi="仿宋" w:eastAsia="仿宋_GB2312" w:cs="宋体"/>
          <w:sz w:val="32"/>
          <w:szCs w:val="32"/>
        </w:rPr>
        <w:t xml:space="preserve"> 2019年</w:t>
      </w:r>
      <w:r>
        <w:rPr>
          <w:rFonts w:hint="eastAsia" w:ascii="仿宋_GB2312" w:hAnsi="仿宋" w:eastAsia="仿宋_GB2312" w:cs="宋体"/>
          <w:sz w:val="32"/>
          <w:szCs w:val="32"/>
        </w:rPr>
        <w:t>机关事业单位退休职工养老金的发放。</w:t>
      </w:r>
    </w:p>
    <w:p>
      <w:pPr>
        <w:pStyle w:val="23"/>
        <w:spacing w:before="0" w:after="0" w:line="600" w:lineRule="exact"/>
        <w:ind w:left="0" w:firstLine="643" w:firstLineChars="200"/>
      </w:pPr>
      <w:bookmarkStart w:id="2" w:name="_Toc26401551"/>
      <w:r>
        <w:rPr>
          <w:rFonts w:hint="eastAsia"/>
        </w:rPr>
        <w:t>绩效目标</w:t>
      </w:r>
      <w:bookmarkEnd w:id="2"/>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总体目标为：我局承担地直单位职工养老、失业、工伤等保险的申报、登记、个人账户管理等工作，以及保险待遇审核支付工作；对全地区</w:t>
      </w:r>
      <w:r>
        <w:rPr>
          <w:rFonts w:ascii="仿宋_GB2312" w:hAnsi="仿宋" w:eastAsia="仿宋_GB2312" w:cs="宋体"/>
          <w:sz w:val="32"/>
          <w:szCs w:val="32"/>
        </w:rPr>
        <w:t>12个县（市）社保经办机构，进行业务指导和基金监管。为了保证2019年在职人员社保费正常缴纳，退休人员退休费正常发放。保障地区本级企业退休人员15000人左右。</w:t>
      </w:r>
    </w:p>
    <w:p>
      <w:pPr>
        <w:spacing w:line="600" w:lineRule="exact"/>
        <w:rPr>
          <w:rFonts w:ascii="仿宋_GB2312" w:hAnsi="仿宋" w:eastAsia="仿宋_GB2312" w:cs="宋体"/>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 xml:space="preserve">级指标3个，二级指标7个，三级指标8个，绩效目标申报表详见附件1。 </w:t>
      </w:r>
    </w:p>
    <w:p>
      <w:pPr>
        <w:pStyle w:val="21"/>
        <w:numPr>
          <w:ilvl w:val="0"/>
          <w:numId w:val="3"/>
        </w:numPr>
        <w:spacing w:before="0" w:after="0" w:line="600" w:lineRule="exact"/>
        <w:ind w:firstLineChars="0"/>
      </w:pPr>
      <w:bookmarkStart w:id="3" w:name="_Toc26401552"/>
      <w:r>
        <w:rPr>
          <w:rFonts w:hint="eastAsia"/>
        </w:rPr>
        <w:t>评价工作简述</w:t>
      </w:r>
      <w:bookmarkEnd w:id="3"/>
    </w:p>
    <w:p>
      <w:pPr>
        <w:pStyle w:val="23"/>
        <w:numPr>
          <w:ilvl w:val="0"/>
          <w:numId w:val="5"/>
        </w:numPr>
        <w:spacing w:before="0" w:after="0" w:line="600" w:lineRule="exact"/>
        <w:ind w:left="0" w:firstLine="643" w:firstLineChars="200"/>
      </w:pPr>
      <w:bookmarkStart w:id="4" w:name="_Toc26401553"/>
      <w:r>
        <w:rPr>
          <w:rFonts w:hint="eastAsia"/>
        </w:rPr>
        <w:t>评价目的</w:t>
      </w:r>
      <w:bookmarkEnd w:id="4"/>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w:t>
      </w:r>
      <w:r>
        <w:rPr>
          <w:rFonts w:ascii="仿宋_GB2312" w:hAnsi="仿宋" w:eastAsia="仿宋_GB2312" w:cs="宋体"/>
          <w:sz w:val="32"/>
          <w:szCs w:val="32"/>
        </w:rPr>
        <w:t>2019年机关事业养老保险基金备用金</w:t>
      </w:r>
      <w:r>
        <w:rPr>
          <w:rFonts w:hint="eastAsia" w:ascii="仿宋_GB2312" w:hAnsi="仿宋" w:eastAsia="仿宋_GB2312" w:cs="宋体"/>
          <w:sz w:val="32"/>
          <w:szCs w:val="32"/>
        </w:rPr>
        <w:t>项目实施前期、过程及效果，评价财政预算资金使用的效率及效益。根据实际情况详细阐述开展本项目绩效评价的目的和达到的效果。</w:t>
      </w:r>
    </w:p>
    <w:p>
      <w:pPr>
        <w:pStyle w:val="23"/>
        <w:numPr>
          <w:ilvl w:val="0"/>
          <w:numId w:val="5"/>
        </w:numPr>
        <w:spacing w:before="0" w:after="0" w:line="600" w:lineRule="exact"/>
        <w:ind w:left="0" w:firstLine="643" w:firstLineChars="200"/>
      </w:pPr>
      <w:r>
        <w:rPr>
          <w:rFonts w:hint="eastAsia"/>
        </w:rPr>
        <w:t>本次绩效评价的对象及范围</w:t>
      </w:r>
      <w:bookmarkStart w:id="5" w:name="_Toc26401554"/>
    </w:p>
    <w:p>
      <w:pPr>
        <w:spacing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本次评价对象为2019年机关事业养老保险基金备用金项目资金，评价范围包括专项资</w:t>
      </w:r>
      <w:r>
        <w:rPr>
          <w:rFonts w:hint="eastAsia" w:ascii="仿宋_GB2312" w:hAnsi="仿宋" w:eastAsia="仿宋_GB2312" w:cs="宋体"/>
          <w:sz w:val="32"/>
          <w:szCs w:val="32"/>
        </w:rPr>
        <w:t>金的安排、组织及使用效益。</w:t>
      </w:r>
    </w:p>
    <w:p>
      <w:pPr>
        <w:pStyle w:val="23"/>
        <w:numPr>
          <w:ilvl w:val="0"/>
          <w:numId w:val="5"/>
        </w:numPr>
        <w:spacing w:before="0" w:after="0" w:line="600" w:lineRule="exact"/>
        <w:ind w:left="0" w:firstLine="643" w:firstLineChars="200"/>
        <w:rPr>
          <w:color w:val="FF0000"/>
        </w:rPr>
      </w:pPr>
      <w:r>
        <w:rPr>
          <w:rFonts w:hint="eastAsia"/>
        </w:rPr>
        <w:t>绩效评价原则</w:t>
      </w:r>
      <w:bookmarkEnd w:id="5"/>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3"/>
        <w:keepNext w:val="0"/>
        <w:keepLines w:val="0"/>
        <w:numPr>
          <w:ilvl w:val="1"/>
          <w:numId w:val="6"/>
        </w:numPr>
        <w:spacing w:before="0" w:after="0" w:line="600" w:lineRule="exact"/>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3"/>
        <w:keepNext w:val="0"/>
        <w:keepLines w:val="0"/>
        <w:numPr>
          <w:ilvl w:val="1"/>
          <w:numId w:val="6"/>
        </w:numPr>
        <w:spacing w:before="0" w:after="0" w:line="600" w:lineRule="exact"/>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6"/>
        </w:numPr>
        <w:spacing w:before="0" w:after="0" w:line="600" w:lineRule="exact"/>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3"/>
        <w:keepNext w:val="0"/>
        <w:keepLines w:val="0"/>
        <w:numPr>
          <w:ilvl w:val="1"/>
          <w:numId w:val="6"/>
        </w:numPr>
        <w:spacing w:before="0" w:after="0" w:line="600" w:lineRule="exact"/>
        <w:ind w:left="0" w:firstLine="640" w:firstLineChars="200"/>
        <w:rPr>
          <w:b w:val="0"/>
        </w:rPr>
      </w:pPr>
      <w:r>
        <w:rPr>
          <w:rFonts w:hint="eastAsia" w:hAnsi="仿宋" w:cs="宋体"/>
          <w:b w:val="0"/>
        </w:rPr>
        <w:t>公开透明。绩效评价结果应依法依规公开，并自觉接受社会监督。</w:t>
      </w:r>
    </w:p>
    <w:p>
      <w:pPr>
        <w:pStyle w:val="23"/>
        <w:numPr>
          <w:ilvl w:val="0"/>
          <w:numId w:val="5"/>
        </w:numPr>
        <w:spacing w:before="0" w:after="0" w:line="600" w:lineRule="exact"/>
        <w:ind w:left="0" w:firstLine="643" w:firstLineChars="200"/>
      </w:pPr>
      <w:r>
        <w:rPr>
          <w:rFonts w:hint="eastAsia"/>
        </w:rPr>
        <w:t>本项目绩效评价体系</w:t>
      </w:r>
    </w:p>
    <w:p>
      <w:pPr>
        <w:pStyle w:val="23"/>
        <w:numPr>
          <w:ilvl w:val="0"/>
          <w:numId w:val="0"/>
        </w:numPr>
        <w:spacing w:before="0" w:after="0" w:line="600" w:lineRule="exact"/>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号共性指标及个性化指标设置，详见附件2。</w:t>
      </w:r>
    </w:p>
    <w:p>
      <w:pPr>
        <w:pStyle w:val="23"/>
        <w:keepNext w:val="0"/>
        <w:keepLines w:val="0"/>
        <w:numPr>
          <w:ilvl w:val="0"/>
          <w:numId w:val="5"/>
        </w:numPr>
        <w:spacing w:before="0" w:after="0" w:line="600" w:lineRule="exact"/>
        <w:ind w:left="0" w:firstLine="643" w:firstLineChars="200"/>
      </w:pPr>
      <w:bookmarkStart w:id="6" w:name="_Toc26401555"/>
      <w:r>
        <w:rPr>
          <w:rFonts w:hint="eastAsia"/>
        </w:rPr>
        <w:t>绩效评价方法</w:t>
      </w:r>
      <w:bookmarkEnd w:id="6"/>
    </w:p>
    <w:p>
      <w:pPr>
        <w:spacing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本次绩效评价方法的选用坚持简便有效的原则采用因素分析法。</w:t>
      </w:r>
    </w:p>
    <w:p>
      <w:pPr>
        <w:pStyle w:val="23"/>
        <w:keepNext w:val="0"/>
        <w:keepLines w:val="0"/>
        <w:numPr>
          <w:ilvl w:val="0"/>
          <w:numId w:val="5"/>
        </w:numPr>
        <w:spacing w:before="0" w:after="0" w:line="600" w:lineRule="exact"/>
        <w:ind w:left="0" w:firstLine="643" w:firstLineChars="200"/>
      </w:pPr>
      <w:r>
        <w:rPr>
          <w:rFonts w:hint="eastAsia"/>
        </w:rPr>
        <w:t>评价标准</w:t>
      </w:r>
    </w:p>
    <w:p>
      <w:pPr>
        <w:pStyle w:val="23"/>
        <w:keepNext w:val="0"/>
        <w:keepLines w:val="0"/>
        <w:numPr>
          <w:ilvl w:val="0"/>
          <w:numId w:val="0"/>
        </w:numPr>
        <w:spacing w:before="0" w:after="0" w:line="600" w:lineRule="exact"/>
        <w:rPr>
          <w:b w:val="0"/>
        </w:rPr>
      </w:pPr>
      <w:r>
        <w:rPr>
          <w:rFonts w:hint="eastAsia"/>
        </w:rPr>
        <w:t xml:space="preserve"> </w:t>
      </w:r>
      <w:r>
        <w:t xml:space="preserve">   </w:t>
      </w:r>
      <w:r>
        <w:rPr>
          <w:rFonts w:hint="eastAsia"/>
          <w:b w:val="0"/>
        </w:rPr>
        <w:t>项目评价标准采用</w:t>
      </w:r>
      <w:r>
        <w:rPr>
          <w:rFonts w:hint="eastAsia"/>
          <w:b w:val="0"/>
          <w:bCs w:val="0"/>
        </w:rPr>
        <w:t>行业标准</w:t>
      </w:r>
    </w:p>
    <w:p>
      <w:pPr>
        <w:pStyle w:val="23"/>
        <w:keepNext w:val="0"/>
        <w:keepLines w:val="0"/>
        <w:numPr>
          <w:ilvl w:val="0"/>
          <w:numId w:val="5"/>
        </w:numPr>
        <w:spacing w:before="0" w:after="0" w:line="600" w:lineRule="exact"/>
        <w:ind w:left="0" w:firstLine="643" w:firstLineChars="200"/>
      </w:pPr>
      <w:r>
        <w:rPr>
          <w:rFonts w:hint="eastAsia"/>
        </w:rPr>
        <w:t>绩效评价工作过程</w:t>
      </w:r>
    </w:p>
    <w:p>
      <w:pPr>
        <w:pStyle w:val="23"/>
        <w:keepNext w:val="0"/>
        <w:keepLines w:val="0"/>
        <w:numPr>
          <w:ilvl w:val="0"/>
          <w:numId w:val="0"/>
        </w:numPr>
        <w:spacing w:before="0" w:after="0" w:line="600" w:lineRule="exact"/>
        <w:ind w:firstLine="640" w:firstLineChars="200"/>
        <w:outlineLvl w:val="9"/>
        <w:rPr>
          <w:b w:val="0"/>
          <w:bCs w:val="0"/>
        </w:rPr>
      </w:pPr>
      <w:r>
        <w:rPr>
          <w:rFonts w:hint="eastAsia"/>
          <w:b w:val="0"/>
          <w:bCs w:val="0"/>
        </w:rPr>
        <w:t>本次评价成立了评价，成员如下：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评价人</w:t>
            </w:r>
          </w:p>
        </w:tc>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职责</w:t>
            </w:r>
          </w:p>
        </w:tc>
        <w:tc>
          <w:tcPr>
            <w:tcW w:w="2766"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李咏萍</w:t>
            </w:r>
          </w:p>
        </w:tc>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评价组组长</w:t>
            </w:r>
          </w:p>
        </w:tc>
        <w:tc>
          <w:tcPr>
            <w:tcW w:w="2766"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地区社保局局长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廖伟</w:t>
            </w:r>
          </w:p>
        </w:tc>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地区社保局副局长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李江波</w:t>
            </w:r>
          </w:p>
        </w:tc>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地区社保局办公室主任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马永艳</w:t>
            </w:r>
          </w:p>
        </w:tc>
        <w:tc>
          <w:tcPr>
            <w:tcW w:w="2765"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before="0" w:after="0" w:line="600" w:lineRule="exact"/>
              <w:jc w:val="center"/>
              <w:rPr>
                <w:b w:val="0"/>
                <w:bCs w:val="0"/>
              </w:rPr>
            </w:pPr>
            <w:r>
              <w:rPr>
                <w:rFonts w:hint="eastAsia"/>
                <w:b w:val="0"/>
                <w:bCs w:val="0"/>
              </w:rPr>
              <w:t>地区社保局基金财务科副科长</w:t>
            </w:r>
          </w:p>
        </w:tc>
      </w:tr>
    </w:tbl>
    <w:p>
      <w:pPr>
        <w:pStyle w:val="23"/>
        <w:keepNext w:val="0"/>
        <w:keepLines w:val="0"/>
        <w:numPr>
          <w:ilvl w:val="0"/>
          <w:numId w:val="0"/>
        </w:numPr>
        <w:spacing w:before="0" w:after="0" w:line="600" w:lineRule="exact"/>
        <w:ind w:firstLine="640" w:firstLineChars="200"/>
        <w:outlineLvl w:val="9"/>
        <w:rPr>
          <w:b w:val="0"/>
          <w:bCs w:val="0"/>
          <w:color w:val="FF0000"/>
        </w:rPr>
      </w:pPr>
      <w:r>
        <w:rPr>
          <w:rFonts w:hint="eastAsia"/>
          <w:b w:val="0"/>
          <w:bCs w:val="0"/>
        </w:rPr>
        <w:t>本次评价设计了评价方案、评价指标体系，通过资料分析、调研、访谈满意度调查等方式形成评价结论，在与项目单位沟通后确定评价意见，并出具评价报告。</w:t>
      </w:r>
      <w:r>
        <w:rPr>
          <w:rFonts w:hint="eastAsia"/>
          <w:b w:val="0"/>
          <w:bCs w:val="0"/>
          <w:color w:val="FF0000"/>
        </w:rPr>
        <w:t>　</w:t>
      </w:r>
    </w:p>
    <w:p>
      <w:pPr>
        <w:pStyle w:val="21"/>
        <w:numPr>
          <w:ilvl w:val="0"/>
          <w:numId w:val="3"/>
        </w:numPr>
        <w:spacing w:before="0" w:after="0" w:line="600" w:lineRule="exact"/>
        <w:ind w:firstLineChars="0"/>
      </w:pPr>
      <w:bookmarkStart w:id="7" w:name="_Toc26401558"/>
      <w:r>
        <w:rPr>
          <w:rFonts w:hint="eastAsia" w:ascii="黑体" w:hAnsi="黑体"/>
        </w:rPr>
        <w:t>综合评价情况及评价结论</w:t>
      </w:r>
      <w:r>
        <w:rPr>
          <w:rFonts w:hint="eastAsia" w:ascii="仿宋_GB2312"/>
        </w:rPr>
        <w:t>（附相关评分表）</w:t>
      </w:r>
    </w:p>
    <w:p>
      <w:pPr>
        <w:pStyle w:val="21"/>
        <w:spacing w:before="0" w:after="0" w:line="600" w:lineRule="exact"/>
        <w:ind w:firstLine="640"/>
        <w:rPr>
          <w:rFonts w:ascii="仿宋_GB2312" w:eastAsia="仿宋_GB2312" w:hAnsiTheme="majorHAnsi"/>
          <w:b w:val="0"/>
          <w:bCs w:val="0"/>
          <w:color w:val="FF0000"/>
          <w:kern w:val="2"/>
        </w:rPr>
      </w:pPr>
      <w:r>
        <w:rPr>
          <w:rFonts w:hint="eastAsia" w:ascii="仿宋_GB2312" w:eastAsia="仿宋_GB2312" w:hAnsiTheme="majorHAnsi"/>
          <w:b w:val="0"/>
          <w:bCs w:val="0"/>
          <w:kern w:val="2"/>
        </w:rPr>
        <w:t>经评价组通过实地调研、资料分析等方式，采用综合分析法对项目的决策、管理、绩效进行的综合评价分析，项目得分为97分，评价结果为优（良/一般/差），详见附件3。</w:t>
      </w:r>
    </w:p>
    <w:p>
      <w:pPr>
        <w:pStyle w:val="21"/>
        <w:numPr>
          <w:ilvl w:val="0"/>
          <w:numId w:val="3"/>
        </w:numPr>
        <w:spacing w:before="0" w:after="0" w:line="600" w:lineRule="exact"/>
        <w:ind w:firstLineChars="0"/>
      </w:pPr>
      <w:r>
        <w:rPr>
          <w:rFonts w:hint="eastAsia"/>
        </w:rPr>
        <w:t>绩效评价指标分析</w:t>
      </w:r>
      <w:bookmarkEnd w:id="7"/>
    </w:p>
    <w:p>
      <w:pPr>
        <w:pStyle w:val="17"/>
        <w:numPr>
          <w:ilvl w:val="0"/>
          <w:numId w:val="7"/>
        </w:numPr>
        <w:spacing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6"/>
        <w:spacing w:line="600" w:lineRule="exact"/>
        <w:ind w:firstLine="640"/>
        <w:rPr>
          <w:rFonts w:ascii="仿宋_GB2312" w:hAnsi="仿宋" w:cs="宋体"/>
          <w:sz w:val="32"/>
          <w:szCs w:val="32"/>
        </w:rPr>
      </w:pPr>
      <w:r>
        <w:rPr>
          <w:rFonts w:hint="eastAsia" w:ascii="仿宋_GB2312" w:hAnsi="仿宋" w:cs="宋体"/>
          <w:sz w:val="32"/>
          <w:szCs w:val="32"/>
        </w:rPr>
        <w:t>本项目的立项符合相关法规政策及部门职责，依据是否充分；项目是否按照规定的程序申请设立；审批文件、材料是否符合相关要求。</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不合理），是否与实际工作内容是否相关；项目预期产出效益和效果是否符合正常的业绩水平；是否与预算确定的项目投资额或资金量相匹配。否将项目绩效目标细化分解为具体的绩效指标；是否通过清晰、可衡量的指标值予以体现；是否与项目目标任务数或计划数相对应。</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是否经过科学论证、有明确标准，资金额度与年度目标是否相适应，用以反映和考核项目预算编制的科学性、合理性情况。项目预算资金分配是否有测算依据，与补助单位或地方实际是否相适应。</w:t>
      </w:r>
    </w:p>
    <w:p>
      <w:pPr>
        <w:pStyle w:val="17"/>
        <w:numPr>
          <w:ilvl w:val="0"/>
          <w:numId w:val="7"/>
        </w:numPr>
        <w:spacing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是否足额及时，是否及时支付，资金使用是否符合国家法规和财务管理制度；资金拨付是否有完整的审批程序和手续，是否符合项目预算批复或合同规定的用途；是否存在截留、挤占、挪用、虚列支出等情况。</w:t>
      </w:r>
    </w:p>
    <w:p>
      <w:pPr>
        <w:spacing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在项目组织实施方面，项目单位是否已制定或具有相应的财务和业务管理制度，财务和业务管理制度是否合法、合规、完整。项目实施是否遵守相关法律法规和相关管理规定。</w:t>
      </w:r>
    </w:p>
    <w:p>
      <w:pPr>
        <w:spacing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项目调整及支出调整手续是否完备，项目实施的人员条件、信息支撑等是否落实到位。</w:t>
      </w:r>
    </w:p>
    <w:p>
      <w:pPr>
        <w:pStyle w:val="17"/>
        <w:numPr>
          <w:ilvl w:val="0"/>
          <w:numId w:val="7"/>
        </w:numPr>
        <w:spacing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line="600" w:lineRule="exact"/>
        <w:ind w:firstLine="660"/>
        <w:rPr>
          <w:rFonts w:ascii="仿宋_GB2312" w:eastAsia="仿宋_GB2312"/>
          <w:sz w:val="32"/>
          <w:szCs w:val="32"/>
        </w:rPr>
      </w:pPr>
      <w:r>
        <w:rPr>
          <w:rFonts w:hint="eastAsia" w:ascii="仿宋_GB2312" w:eastAsia="仿宋_GB2312"/>
          <w:sz w:val="32"/>
          <w:szCs w:val="32"/>
        </w:rPr>
        <w:t>项目产出数量为喀什地区本级机关事业单位退休人员人数，预期指标值为6500人，实际完成值为6500人，指标达到预期目标。</w:t>
      </w:r>
    </w:p>
    <w:p>
      <w:pPr>
        <w:spacing w:line="600" w:lineRule="exact"/>
        <w:ind w:firstLine="660"/>
        <w:rPr>
          <w:rFonts w:ascii="仿宋_GB2312" w:eastAsia="仿宋_GB2312"/>
          <w:sz w:val="32"/>
          <w:szCs w:val="32"/>
        </w:rPr>
      </w:pPr>
      <w:r>
        <w:rPr>
          <w:rFonts w:hint="eastAsia" w:ascii="仿宋_GB2312" w:eastAsia="仿宋_GB2312"/>
          <w:sz w:val="32"/>
          <w:szCs w:val="32"/>
        </w:rPr>
        <w:t>项目产出数量为地区本级企业退休人员人数，预期指标值为15000人，实际完成值为15000人，指标达到预期目标。</w:t>
      </w:r>
    </w:p>
    <w:p>
      <w:pPr>
        <w:spacing w:line="600" w:lineRule="exact"/>
        <w:ind w:firstLine="660"/>
        <w:rPr>
          <w:rFonts w:ascii="仿宋_GB2312" w:eastAsia="仿宋_GB2312"/>
          <w:sz w:val="32"/>
          <w:szCs w:val="32"/>
        </w:rPr>
      </w:pPr>
      <w:r>
        <w:rPr>
          <w:rFonts w:hint="eastAsia" w:ascii="仿宋_GB2312" w:eastAsia="仿宋_GB2312"/>
          <w:sz w:val="32"/>
          <w:szCs w:val="32"/>
        </w:rPr>
        <w:t>项目产出质量为引进人才在职人员社保缴纳率，预期指标值为100%，实际完成值为100%，指标达到预期目标。</w:t>
      </w:r>
    </w:p>
    <w:p>
      <w:pPr>
        <w:spacing w:line="600" w:lineRule="exact"/>
        <w:ind w:firstLine="660"/>
        <w:rPr>
          <w:rFonts w:ascii="仿宋_GB2312" w:eastAsia="仿宋_GB2312"/>
          <w:sz w:val="32"/>
          <w:szCs w:val="32"/>
        </w:rPr>
      </w:pPr>
      <w:r>
        <w:rPr>
          <w:rFonts w:hint="eastAsia" w:ascii="仿宋_GB2312" w:eastAsia="仿宋_GB2312"/>
          <w:sz w:val="32"/>
          <w:szCs w:val="32"/>
        </w:rPr>
        <w:t>项目产出时效为退休人员领取养老金及时率，预期指标值为100%，实际完成值为100%，达到预期目标。</w:t>
      </w:r>
    </w:p>
    <w:p>
      <w:pPr>
        <w:spacing w:line="600" w:lineRule="exact"/>
        <w:ind w:firstLine="660"/>
        <w:rPr>
          <w:rFonts w:ascii="仿宋_GB2312" w:eastAsia="仿宋_GB2312"/>
          <w:sz w:val="32"/>
          <w:szCs w:val="32"/>
        </w:rPr>
      </w:pPr>
      <w:r>
        <w:rPr>
          <w:rFonts w:hint="eastAsia" w:ascii="仿宋_GB2312" w:eastAsia="仿宋_GB2312"/>
          <w:sz w:val="32"/>
          <w:szCs w:val="32"/>
        </w:rPr>
        <w:t>项目产出成本指标为按人社部门批复工资为基数缴纳社保</w:t>
      </w:r>
      <w:r>
        <w:rPr>
          <w:rFonts w:ascii="仿宋_GB2312" w:eastAsia="仿宋_GB2312"/>
          <w:sz w:val="32"/>
          <w:szCs w:val="32"/>
        </w:rPr>
        <w:t>(元/人)</w:t>
      </w:r>
      <w:r>
        <w:rPr>
          <w:rFonts w:hint="eastAsia" w:ascii="仿宋_GB2312" w:eastAsia="仿宋_GB2312"/>
          <w:sz w:val="32"/>
          <w:szCs w:val="32"/>
        </w:rPr>
        <w:t>，预期指标值为5000，实际完成值为5000，达到预期目标。</w:t>
      </w:r>
    </w:p>
    <w:p>
      <w:pPr>
        <w:pStyle w:val="17"/>
        <w:numPr>
          <w:ilvl w:val="0"/>
          <w:numId w:val="7"/>
        </w:numPr>
        <w:spacing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项目实施产生的经济效益</w:t>
      </w:r>
      <w:r>
        <w:rPr>
          <w:rFonts w:hint="eastAsia" w:ascii="仿宋_GB2312" w:eastAsia="仿宋_GB2312"/>
          <w:sz w:val="32"/>
          <w:szCs w:val="32"/>
        </w:rPr>
        <w:t>指标无。</w:t>
      </w:r>
    </w:p>
    <w:p>
      <w:pPr>
        <w:spacing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指标为提高社会公共服务水平，预期指标值为大幅提高，实际完成值为大幅提高</w:t>
      </w:r>
      <w:r>
        <w:rPr>
          <w:rFonts w:hint="eastAsia" w:ascii="仿宋_GB2312" w:hAnsi="仿宋" w:eastAsia="仿宋_GB2312" w:cs="宋体"/>
          <w:bCs/>
          <w:sz w:val="32"/>
          <w:szCs w:val="32"/>
        </w:rPr>
        <w:t>，达到了预期目标。</w:t>
      </w:r>
    </w:p>
    <w:p>
      <w:pPr>
        <w:spacing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项目实施产生的生态效益</w:t>
      </w:r>
      <w:r>
        <w:rPr>
          <w:rFonts w:hint="eastAsia" w:ascii="仿宋_GB2312" w:eastAsia="仿宋_GB2312"/>
          <w:sz w:val="32"/>
          <w:szCs w:val="32"/>
        </w:rPr>
        <w:t>指标无。</w:t>
      </w:r>
    </w:p>
    <w:p>
      <w:pPr>
        <w:spacing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指标为本项目持续影响时间，预期指标值为1年，实际完成值为1年</w:t>
      </w:r>
      <w:r>
        <w:rPr>
          <w:rFonts w:hint="eastAsia" w:ascii="仿宋_GB2312" w:hAnsi="仿宋" w:eastAsia="仿宋_GB2312" w:cs="宋体"/>
          <w:bCs/>
          <w:sz w:val="32"/>
          <w:szCs w:val="32"/>
        </w:rPr>
        <w:t>，达到了预期目标。</w:t>
      </w:r>
    </w:p>
    <w:p>
      <w:pPr>
        <w:spacing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经问卷调查，项目收益群众满意度为：达到了预期目标。</w:t>
      </w:r>
    </w:p>
    <w:p>
      <w:pPr>
        <w:pStyle w:val="21"/>
        <w:numPr>
          <w:ilvl w:val="0"/>
          <w:numId w:val="3"/>
        </w:numPr>
        <w:spacing w:before="0" w:after="0" w:line="600" w:lineRule="exact"/>
        <w:ind w:firstLineChars="0"/>
      </w:pPr>
      <w:r>
        <w:rPr>
          <w:rFonts w:hint="eastAsia" w:ascii="黑体" w:hAnsi="黑体"/>
        </w:rPr>
        <w:t>主要经验及做法、存在的问题及原因分析</w:t>
      </w:r>
    </w:p>
    <w:p>
      <w:pPr>
        <w:pStyle w:val="23"/>
        <w:numPr>
          <w:ilvl w:val="0"/>
          <w:numId w:val="8"/>
        </w:numPr>
        <w:spacing w:before="0" w:after="0" w:line="600" w:lineRule="exact"/>
        <w:ind w:left="0" w:firstLine="643" w:firstLineChars="200"/>
      </w:pPr>
      <w:r>
        <w:rPr>
          <w:rFonts w:hint="eastAsia"/>
        </w:rPr>
        <w:t>主要经验及做法</w:t>
      </w:r>
    </w:p>
    <w:p>
      <w:pPr>
        <w:pStyle w:val="23"/>
        <w:numPr>
          <w:ilvl w:val="0"/>
          <w:numId w:val="0"/>
        </w:numPr>
        <w:spacing w:before="0" w:after="0" w:line="600" w:lineRule="exact"/>
        <w:ind w:firstLine="640" w:firstLineChars="200"/>
        <w:rPr>
          <w:b w:val="0"/>
        </w:rPr>
      </w:pPr>
      <w:r>
        <w:rPr>
          <w:rFonts w:hint="eastAsia"/>
          <w:b w:val="0"/>
        </w:rPr>
        <w:t>本项目实施效果较好的原因主要是管理制度完善、责任落实到位，跟踪考核机制完善且运行有效，在项目实施过程中创新管理办法，采用责任分工、落实到人、逐一核查等方式使项目取得了养老保险待遇及时发放良好的效果。</w:t>
      </w:r>
    </w:p>
    <w:p>
      <w:pPr>
        <w:pStyle w:val="23"/>
        <w:numPr>
          <w:ilvl w:val="0"/>
          <w:numId w:val="8"/>
        </w:numPr>
        <w:spacing w:before="0" w:after="0" w:line="600" w:lineRule="exact"/>
        <w:ind w:left="0" w:firstLine="643" w:firstLineChars="200"/>
      </w:pPr>
      <w:r>
        <w:rPr>
          <w:rFonts w:hint="eastAsia"/>
        </w:rPr>
        <w:t>存在的问题及原因分析</w:t>
      </w:r>
    </w:p>
    <w:p>
      <w:pPr>
        <w:pStyle w:val="23"/>
        <w:numPr>
          <w:ilvl w:val="0"/>
          <w:numId w:val="0"/>
        </w:numPr>
        <w:adjustRightInd w:val="0"/>
        <w:snapToGrid w:val="0"/>
        <w:spacing w:before="0" w:after="0" w:line="600" w:lineRule="exact"/>
        <w:ind w:firstLine="640" w:firstLineChars="200"/>
        <w:rPr>
          <w:b w:val="0"/>
        </w:rPr>
      </w:pPr>
      <w:r>
        <w:rPr>
          <w:rFonts w:hint="eastAsia"/>
          <w:b w:val="0"/>
        </w:rPr>
        <w:t>专项补助经费项目前期手续办理较为缓慢，实施单位需要设置相应岗位，指定具体项目负责人，分工明确，加快办理前期各项手续。</w:t>
      </w:r>
    </w:p>
    <w:p>
      <w:pPr>
        <w:pStyle w:val="21"/>
        <w:numPr>
          <w:ilvl w:val="0"/>
          <w:numId w:val="3"/>
        </w:numPr>
        <w:spacing w:before="0" w:after="0" w:line="600" w:lineRule="exact"/>
        <w:ind w:firstLineChars="0"/>
        <w:rPr>
          <w:rFonts w:ascii="黑体" w:hAnsi="黑体"/>
        </w:rPr>
      </w:pPr>
      <w:r>
        <w:rPr>
          <w:rFonts w:hint="eastAsia" w:ascii="黑体" w:hAnsi="黑体"/>
        </w:rPr>
        <w:t>有关建议</w:t>
      </w:r>
    </w:p>
    <w:p>
      <w:pPr>
        <w:pStyle w:val="21"/>
        <w:spacing w:before="0" w:after="0" w:line="600" w:lineRule="exact"/>
        <w:ind w:firstLine="0" w:firstLineChars="0"/>
        <w:rPr>
          <w:rFonts w:ascii="黑体" w:hAnsi="黑体"/>
          <w:b w:val="0"/>
        </w:rPr>
      </w:pPr>
      <w:r>
        <w:rPr>
          <w:rFonts w:ascii="黑体" w:hAnsi="黑体"/>
          <w:b w:val="0"/>
        </w:rPr>
        <w:t xml:space="preserve"> </w:t>
      </w:r>
      <w:r>
        <w:rPr>
          <w:rFonts w:ascii="仿宋_GB2312" w:hAnsi="仿宋" w:eastAsia="仿宋_GB2312" w:cs="宋体"/>
          <w:b w:val="0"/>
          <w:kern w:val="2"/>
        </w:rPr>
        <w:t xml:space="preserve">   </w:t>
      </w:r>
      <w:r>
        <w:rPr>
          <w:rFonts w:hint="eastAsia" w:ascii="仿宋_GB2312" w:hAnsi="仿宋" w:eastAsia="仿宋_GB2312" w:cs="宋体"/>
          <w:b w:val="0"/>
          <w:kern w:val="2"/>
        </w:rPr>
        <w:t>无。</w:t>
      </w:r>
    </w:p>
    <w:p>
      <w:pPr>
        <w:pStyle w:val="21"/>
        <w:numPr>
          <w:ilvl w:val="0"/>
          <w:numId w:val="3"/>
        </w:numPr>
        <w:spacing w:before="0" w:after="0" w:line="600" w:lineRule="exact"/>
        <w:ind w:firstLineChars="0"/>
        <w:rPr>
          <w:rFonts w:ascii="黑体" w:hAnsi="黑体"/>
        </w:rPr>
      </w:pPr>
      <w:r>
        <w:rPr>
          <w:rFonts w:hint="eastAsia" w:ascii="黑体" w:hAnsi="黑体"/>
        </w:rPr>
        <w:t>其他需要说明的问题</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无。</w:t>
      </w:r>
    </w:p>
    <w:p>
      <w:pPr>
        <w:spacing w:line="600" w:lineRule="exact"/>
        <w:ind w:firstLine="640" w:firstLineChars="200"/>
        <w:rPr>
          <w:rFonts w:ascii="仿宋_GB2312" w:hAnsi="仿宋" w:eastAsia="仿宋_GB2312" w:cs="宋体"/>
          <w:sz w:val="32"/>
          <w:szCs w:val="32"/>
        </w:rPr>
      </w:pP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附件1：喀什地区社会保险管理局单位</w:t>
      </w:r>
      <w:r>
        <w:rPr>
          <w:rFonts w:ascii="仿宋_GB2312" w:hAnsi="仿宋" w:eastAsia="仿宋_GB2312" w:cs="宋体"/>
          <w:sz w:val="32"/>
          <w:szCs w:val="32"/>
        </w:rPr>
        <w:t>2019年机关事业养老保险基金备用金</w:t>
      </w:r>
      <w:r>
        <w:rPr>
          <w:rFonts w:hint="eastAsia" w:ascii="仿宋_GB2312" w:hAnsi="仿宋" w:eastAsia="仿宋_GB2312" w:cs="宋体"/>
          <w:sz w:val="32"/>
          <w:szCs w:val="32"/>
        </w:rPr>
        <w:t>项目支出绩效目标申报表</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附件2：喀什地区社会保险管理局单位</w:t>
      </w:r>
      <w:r>
        <w:rPr>
          <w:rFonts w:ascii="仿宋_GB2312" w:hAnsi="仿宋" w:eastAsia="仿宋_GB2312" w:cs="宋体"/>
          <w:sz w:val="32"/>
          <w:szCs w:val="32"/>
        </w:rPr>
        <w:t>2019年机关事业养老保险基金备用金</w:t>
      </w:r>
      <w:r>
        <w:rPr>
          <w:rFonts w:hint="eastAsia" w:ascii="仿宋_GB2312" w:hAnsi="仿宋" w:eastAsia="仿宋_GB2312" w:cs="宋体"/>
          <w:sz w:val="32"/>
          <w:szCs w:val="32"/>
        </w:rPr>
        <w:t>项目支出绩效评价指标体系</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附件3：喀什地区社会保险管理局单位</w:t>
      </w:r>
      <w:r>
        <w:rPr>
          <w:rFonts w:ascii="仿宋_GB2312" w:hAnsi="仿宋" w:eastAsia="仿宋_GB2312" w:cs="宋体"/>
          <w:sz w:val="32"/>
          <w:szCs w:val="32"/>
        </w:rPr>
        <w:t>2019年机关事业养老保险基金备用金</w:t>
      </w:r>
      <w:r>
        <w:rPr>
          <w:rFonts w:hint="eastAsia" w:ascii="仿宋_GB2312" w:hAnsi="仿宋" w:eastAsia="仿宋_GB2312" w:cs="宋体"/>
          <w:sz w:val="32"/>
          <w:szCs w:val="32"/>
        </w:rPr>
        <w:t>项目支出绩效评价评分表</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附件4：绩效评价依据</w:t>
      </w:r>
    </w:p>
    <w:p>
      <w:pPr>
        <w:spacing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附件5：喀什地区社会保险管理局单位</w:t>
      </w:r>
      <w:r>
        <w:rPr>
          <w:rFonts w:ascii="仿宋_GB2312" w:hAnsi="仿宋" w:eastAsia="仿宋_GB2312" w:cs="宋体"/>
          <w:sz w:val="32"/>
          <w:szCs w:val="32"/>
        </w:rPr>
        <w:t>2019年机关事业养老保险基金备用金</w:t>
      </w:r>
      <w:r>
        <w:rPr>
          <w:rFonts w:hint="eastAsia" w:ascii="仿宋_GB2312" w:hAnsi="仿宋" w:eastAsia="仿宋_GB2312" w:cs="宋体"/>
          <w:sz w:val="32"/>
          <w:szCs w:val="32"/>
        </w:rPr>
        <w:t>项目支出绩效自评表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0537C"/>
    <w:multiLevelType w:val="multilevel"/>
    <w:tmpl w:val="1370537C"/>
    <w:lvl w:ilvl="0" w:tentative="0">
      <w:start w:val="1"/>
      <w:numFmt w:val="decimal"/>
      <w:suff w:val="nothing"/>
      <w:lvlText w:val="%1　"/>
      <w:lvlJc w:val="left"/>
      <w:rPr>
        <w:rFonts w:hint="eastAsia" w:ascii="黑体" w:hAnsi="Times New Roman" w:eastAsia="黑体" w:cs="Times New Roman"/>
        <w:b w:val="0"/>
        <w:bCs w:val="0"/>
        <w:i w:val="0"/>
        <w:iCs w:val="0"/>
        <w:sz w:val="21"/>
        <w:szCs w:val="21"/>
      </w:rPr>
    </w:lvl>
    <w:lvl w:ilvl="1" w:tentative="0">
      <w:start w:val="1"/>
      <w:numFmt w:val="decimal"/>
      <w:pStyle w:val="35"/>
      <w:suff w:val="nothing"/>
      <w:lvlText w:val="%1.%2　"/>
      <w:lvlJc w:val="left"/>
      <w:pPr>
        <w:ind w:left="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735"/>
      </w:pPr>
      <w:rPr>
        <w:rFonts w:hint="eastAsia" w:ascii="黑体" w:hAnsi="Times New Roman" w:eastAsia="黑体" w:cs="Times New Roman"/>
        <w:b w:val="0"/>
        <w:bCs w:val="0"/>
        <w:i w:val="0"/>
        <w:iCs w:val="0"/>
        <w:sz w:val="21"/>
        <w:szCs w:val="21"/>
      </w:rPr>
    </w:lvl>
    <w:lvl w:ilvl="3" w:tentative="0">
      <w:start w:val="1"/>
      <w:numFmt w:val="decimal"/>
      <w:suff w:val="nothing"/>
      <w:lvlText w:val="%1.%2.%3.%4　"/>
      <w:lvlJc w:val="left"/>
      <w:rPr>
        <w:rFonts w:hint="eastAsia" w:ascii="黑体" w:hAnsi="Times New Roman" w:eastAsia="黑体" w:cs="Times New Roman"/>
        <w:b w:val="0"/>
        <w:bCs w:val="0"/>
        <w:i w:val="0"/>
        <w:iCs w:val="0"/>
        <w:sz w:val="21"/>
        <w:szCs w:val="21"/>
      </w:rPr>
    </w:lvl>
    <w:lvl w:ilvl="4" w:tentative="0">
      <w:start w:val="1"/>
      <w:numFmt w:val="decimal"/>
      <w:suff w:val="nothing"/>
      <w:lvlText w:val="%1.%2.%3.%4.%5　"/>
      <w:lvlJc w:val="left"/>
      <w:rPr>
        <w:rFonts w:hint="eastAsia" w:ascii="黑体" w:hAnsi="Times New Roman" w:eastAsia="黑体" w:cs="Times New Roman"/>
        <w:b w:val="0"/>
        <w:bCs w:val="0"/>
        <w:i w:val="0"/>
        <w:iCs w:val="0"/>
        <w:sz w:val="21"/>
        <w:szCs w:val="21"/>
      </w:rPr>
    </w:lvl>
    <w:lvl w:ilvl="5" w:tentative="0">
      <w:start w:val="1"/>
      <w:numFmt w:val="decimal"/>
      <w:suff w:val="nothing"/>
      <w:lvlText w:val="%1.%2.%3.%4.%5.%6　"/>
      <w:lvlJc w:val="left"/>
      <w:rPr>
        <w:rFonts w:hint="eastAsia" w:ascii="黑体" w:hAnsi="Times New Roman" w:eastAsia="黑体" w:cs="Times New Roman"/>
        <w:b w:val="0"/>
        <w:bCs w:val="0"/>
        <w:i w:val="0"/>
        <w:iCs w:val="0"/>
        <w:sz w:val="21"/>
        <w:szCs w:val="21"/>
      </w:rPr>
    </w:lvl>
    <w:lvl w:ilvl="6" w:tentative="0">
      <w:start w:val="1"/>
      <w:numFmt w:val="decimal"/>
      <w:suff w:val="nothing"/>
      <w:lvlText w:val="%1%2.%3.%4.%5.%6.%7　"/>
      <w:lvlJc w:val="left"/>
      <w:rPr>
        <w:rFonts w:hint="eastAsia" w:ascii="黑体" w:hAnsi="Times New Roman" w:eastAsia="黑体" w:cs="Times New Roman"/>
        <w:b w:val="0"/>
        <w:bCs w:val="0"/>
        <w:i w:val="0"/>
        <w:iCs w:val="0"/>
        <w:sz w:val="21"/>
        <w:szCs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1129" w:hanging="420"/>
      </w:pPr>
      <w:rPr>
        <w:rFonts w:hint="eastAsia"/>
        <w:color w:val="auto"/>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0"/>
  </w:num>
  <w:num w:numId="3">
    <w:abstractNumId w:val="6"/>
  </w:num>
  <w:num w:numId="4">
    <w:abstractNumId w:val="4"/>
  </w:num>
  <w:num w:numId="5">
    <w:abstractNumId w:val="3"/>
  </w:num>
  <w:num w:numId="6">
    <w:abstractNumId w:val="1"/>
  </w:num>
  <w:num w:numId="7">
    <w:abstractNumId w:val="5"/>
  </w:num>
  <w:num w:numId="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173A8"/>
    <w:rsid w:val="00022413"/>
    <w:rsid w:val="0003241E"/>
    <w:rsid w:val="00037F93"/>
    <w:rsid w:val="00042126"/>
    <w:rsid w:val="00047CC5"/>
    <w:rsid w:val="0005475B"/>
    <w:rsid w:val="00067F35"/>
    <w:rsid w:val="00073F0A"/>
    <w:rsid w:val="000804EF"/>
    <w:rsid w:val="0008649E"/>
    <w:rsid w:val="0008684D"/>
    <w:rsid w:val="00092288"/>
    <w:rsid w:val="00094033"/>
    <w:rsid w:val="0009746B"/>
    <w:rsid w:val="000A219F"/>
    <w:rsid w:val="000A2D2F"/>
    <w:rsid w:val="000B37A9"/>
    <w:rsid w:val="000C1803"/>
    <w:rsid w:val="000D1850"/>
    <w:rsid w:val="000E0C7B"/>
    <w:rsid w:val="000F2007"/>
    <w:rsid w:val="000F7DF6"/>
    <w:rsid w:val="00100A64"/>
    <w:rsid w:val="00100AA9"/>
    <w:rsid w:val="001022D7"/>
    <w:rsid w:val="001143D6"/>
    <w:rsid w:val="0012798F"/>
    <w:rsid w:val="00132553"/>
    <w:rsid w:val="0013258E"/>
    <w:rsid w:val="00136A2F"/>
    <w:rsid w:val="001500E6"/>
    <w:rsid w:val="00151AF1"/>
    <w:rsid w:val="001520FD"/>
    <w:rsid w:val="00163EE9"/>
    <w:rsid w:val="00174F3A"/>
    <w:rsid w:val="00180746"/>
    <w:rsid w:val="0018169D"/>
    <w:rsid w:val="00193649"/>
    <w:rsid w:val="0019720C"/>
    <w:rsid w:val="001A1902"/>
    <w:rsid w:val="001A4FFA"/>
    <w:rsid w:val="001B5B44"/>
    <w:rsid w:val="001D5FF2"/>
    <w:rsid w:val="001D6DC9"/>
    <w:rsid w:val="001D6F2E"/>
    <w:rsid w:val="001F16AC"/>
    <w:rsid w:val="002038D0"/>
    <w:rsid w:val="00203FB6"/>
    <w:rsid w:val="00216F72"/>
    <w:rsid w:val="00233352"/>
    <w:rsid w:val="00233ECE"/>
    <w:rsid w:val="00244C6A"/>
    <w:rsid w:val="00271BE1"/>
    <w:rsid w:val="00275F21"/>
    <w:rsid w:val="00293DD9"/>
    <w:rsid w:val="002A074E"/>
    <w:rsid w:val="002A1BF4"/>
    <w:rsid w:val="002A3151"/>
    <w:rsid w:val="002A53A1"/>
    <w:rsid w:val="002B3A72"/>
    <w:rsid w:val="002C6231"/>
    <w:rsid w:val="002E763E"/>
    <w:rsid w:val="002F7CDC"/>
    <w:rsid w:val="003054D7"/>
    <w:rsid w:val="00314AB2"/>
    <w:rsid w:val="00324E56"/>
    <w:rsid w:val="003310A4"/>
    <w:rsid w:val="00331AF1"/>
    <w:rsid w:val="00335496"/>
    <w:rsid w:val="003468D7"/>
    <w:rsid w:val="00363E52"/>
    <w:rsid w:val="0036765F"/>
    <w:rsid w:val="003730B5"/>
    <w:rsid w:val="00382736"/>
    <w:rsid w:val="00385E90"/>
    <w:rsid w:val="00390788"/>
    <w:rsid w:val="003A04D1"/>
    <w:rsid w:val="003C09E9"/>
    <w:rsid w:val="003C327E"/>
    <w:rsid w:val="003C48C0"/>
    <w:rsid w:val="003C4B3D"/>
    <w:rsid w:val="003C6E7F"/>
    <w:rsid w:val="003E0288"/>
    <w:rsid w:val="003E0E95"/>
    <w:rsid w:val="003E5E21"/>
    <w:rsid w:val="003F1C70"/>
    <w:rsid w:val="003F2E47"/>
    <w:rsid w:val="00400EA1"/>
    <w:rsid w:val="00402AB9"/>
    <w:rsid w:val="00403544"/>
    <w:rsid w:val="00403937"/>
    <w:rsid w:val="004115AA"/>
    <w:rsid w:val="00431CB8"/>
    <w:rsid w:val="00434C92"/>
    <w:rsid w:val="0043760D"/>
    <w:rsid w:val="00441C45"/>
    <w:rsid w:val="00443C47"/>
    <w:rsid w:val="004504E2"/>
    <w:rsid w:val="00452560"/>
    <w:rsid w:val="00454473"/>
    <w:rsid w:val="00460578"/>
    <w:rsid w:val="00467DBB"/>
    <w:rsid w:val="00487105"/>
    <w:rsid w:val="00487DE9"/>
    <w:rsid w:val="004A0587"/>
    <w:rsid w:val="004B1149"/>
    <w:rsid w:val="004C472B"/>
    <w:rsid w:val="004C56AB"/>
    <w:rsid w:val="004D088E"/>
    <w:rsid w:val="004D4F06"/>
    <w:rsid w:val="00506E1A"/>
    <w:rsid w:val="005225F1"/>
    <w:rsid w:val="00522C46"/>
    <w:rsid w:val="00530B68"/>
    <w:rsid w:val="00531253"/>
    <w:rsid w:val="00540627"/>
    <w:rsid w:val="00540B36"/>
    <w:rsid w:val="00563E06"/>
    <w:rsid w:val="0057061A"/>
    <w:rsid w:val="005748F9"/>
    <w:rsid w:val="00583A88"/>
    <w:rsid w:val="0058554B"/>
    <w:rsid w:val="005858EF"/>
    <w:rsid w:val="00593F04"/>
    <w:rsid w:val="00596DDF"/>
    <w:rsid w:val="005B1CC2"/>
    <w:rsid w:val="005B6EAB"/>
    <w:rsid w:val="005C2F7F"/>
    <w:rsid w:val="005C542E"/>
    <w:rsid w:val="005C5FD2"/>
    <w:rsid w:val="005D197F"/>
    <w:rsid w:val="005D3F0A"/>
    <w:rsid w:val="005D7AC7"/>
    <w:rsid w:val="005E4592"/>
    <w:rsid w:val="005E482F"/>
    <w:rsid w:val="00602EE4"/>
    <w:rsid w:val="00610943"/>
    <w:rsid w:val="00616160"/>
    <w:rsid w:val="00630E69"/>
    <w:rsid w:val="0063353C"/>
    <w:rsid w:val="006362B2"/>
    <w:rsid w:val="0064503A"/>
    <w:rsid w:val="0065420A"/>
    <w:rsid w:val="00680FA4"/>
    <w:rsid w:val="00685C10"/>
    <w:rsid w:val="006869EC"/>
    <w:rsid w:val="00694A44"/>
    <w:rsid w:val="006B59D2"/>
    <w:rsid w:val="006D0AA4"/>
    <w:rsid w:val="006E5E81"/>
    <w:rsid w:val="006F2513"/>
    <w:rsid w:val="006F64CB"/>
    <w:rsid w:val="00705DF1"/>
    <w:rsid w:val="00706248"/>
    <w:rsid w:val="0070665A"/>
    <w:rsid w:val="0071759F"/>
    <w:rsid w:val="007253B3"/>
    <w:rsid w:val="00731D46"/>
    <w:rsid w:val="00734BAD"/>
    <w:rsid w:val="007359C3"/>
    <w:rsid w:val="00741E26"/>
    <w:rsid w:val="00752C57"/>
    <w:rsid w:val="007530D1"/>
    <w:rsid w:val="00781733"/>
    <w:rsid w:val="00784437"/>
    <w:rsid w:val="007A1479"/>
    <w:rsid w:val="007C5CF9"/>
    <w:rsid w:val="007D1BA5"/>
    <w:rsid w:val="007D340B"/>
    <w:rsid w:val="007D377C"/>
    <w:rsid w:val="007D5D0C"/>
    <w:rsid w:val="007E6392"/>
    <w:rsid w:val="007F3C25"/>
    <w:rsid w:val="00806612"/>
    <w:rsid w:val="00811F2D"/>
    <w:rsid w:val="00812E63"/>
    <w:rsid w:val="00815938"/>
    <w:rsid w:val="0082078D"/>
    <w:rsid w:val="008226BA"/>
    <w:rsid w:val="00824F46"/>
    <w:rsid w:val="00827B45"/>
    <w:rsid w:val="00827DA6"/>
    <w:rsid w:val="00835103"/>
    <w:rsid w:val="0084603E"/>
    <w:rsid w:val="00854416"/>
    <w:rsid w:val="00854A90"/>
    <w:rsid w:val="00866F54"/>
    <w:rsid w:val="00871E98"/>
    <w:rsid w:val="00883FF2"/>
    <w:rsid w:val="00887982"/>
    <w:rsid w:val="0089293E"/>
    <w:rsid w:val="008929FB"/>
    <w:rsid w:val="00893E6C"/>
    <w:rsid w:val="008949BD"/>
    <w:rsid w:val="008A351C"/>
    <w:rsid w:val="008B2D7D"/>
    <w:rsid w:val="008B4564"/>
    <w:rsid w:val="008C0EF5"/>
    <w:rsid w:val="008D28D1"/>
    <w:rsid w:val="008D7BC7"/>
    <w:rsid w:val="008E2D41"/>
    <w:rsid w:val="008E4624"/>
    <w:rsid w:val="008F7D4D"/>
    <w:rsid w:val="008F7DFA"/>
    <w:rsid w:val="0090104C"/>
    <w:rsid w:val="009064F6"/>
    <w:rsid w:val="00912770"/>
    <w:rsid w:val="009219CC"/>
    <w:rsid w:val="0092258C"/>
    <w:rsid w:val="00943F5F"/>
    <w:rsid w:val="0094628A"/>
    <w:rsid w:val="009507BB"/>
    <w:rsid w:val="00964510"/>
    <w:rsid w:val="00967911"/>
    <w:rsid w:val="009702E9"/>
    <w:rsid w:val="00976395"/>
    <w:rsid w:val="00981503"/>
    <w:rsid w:val="00982B10"/>
    <w:rsid w:val="00994E1F"/>
    <w:rsid w:val="00995FF1"/>
    <w:rsid w:val="009A212D"/>
    <w:rsid w:val="009A5E2D"/>
    <w:rsid w:val="009B062F"/>
    <w:rsid w:val="009C0267"/>
    <w:rsid w:val="009E485C"/>
    <w:rsid w:val="009E5354"/>
    <w:rsid w:val="00A0711F"/>
    <w:rsid w:val="00A10F1E"/>
    <w:rsid w:val="00A112C8"/>
    <w:rsid w:val="00A12A0C"/>
    <w:rsid w:val="00A360E9"/>
    <w:rsid w:val="00A365D5"/>
    <w:rsid w:val="00A41DB8"/>
    <w:rsid w:val="00A43094"/>
    <w:rsid w:val="00A53361"/>
    <w:rsid w:val="00A55EE0"/>
    <w:rsid w:val="00A5786D"/>
    <w:rsid w:val="00A60074"/>
    <w:rsid w:val="00A60191"/>
    <w:rsid w:val="00A62C2C"/>
    <w:rsid w:val="00A7675B"/>
    <w:rsid w:val="00A80B97"/>
    <w:rsid w:val="00A81609"/>
    <w:rsid w:val="00A85237"/>
    <w:rsid w:val="00AA0124"/>
    <w:rsid w:val="00AB07C5"/>
    <w:rsid w:val="00AE1FDF"/>
    <w:rsid w:val="00AE3042"/>
    <w:rsid w:val="00AF75BF"/>
    <w:rsid w:val="00B03B29"/>
    <w:rsid w:val="00B149CB"/>
    <w:rsid w:val="00B16C8F"/>
    <w:rsid w:val="00B2238C"/>
    <w:rsid w:val="00B300C4"/>
    <w:rsid w:val="00B32FA4"/>
    <w:rsid w:val="00B36F46"/>
    <w:rsid w:val="00B47B13"/>
    <w:rsid w:val="00B50FF4"/>
    <w:rsid w:val="00B5392B"/>
    <w:rsid w:val="00B53BE4"/>
    <w:rsid w:val="00B56704"/>
    <w:rsid w:val="00B57597"/>
    <w:rsid w:val="00B6063F"/>
    <w:rsid w:val="00B71095"/>
    <w:rsid w:val="00B71FA1"/>
    <w:rsid w:val="00B9042A"/>
    <w:rsid w:val="00BA0855"/>
    <w:rsid w:val="00BA65AD"/>
    <w:rsid w:val="00BC7696"/>
    <w:rsid w:val="00BD41C7"/>
    <w:rsid w:val="00BF247D"/>
    <w:rsid w:val="00C04AEE"/>
    <w:rsid w:val="00C05F09"/>
    <w:rsid w:val="00C2671D"/>
    <w:rsid w:val="00C267A5"/>
    <w:rsid w:val="00C41E7E"/>
    <w:rsid w:val="00C563AA"/>
    <w:rsid w:val="00C650A7"/>
    <w:rsid w:val="00C71FF0"/>
    <w:rsid w:val="00C77259"/>
    <w:rsid w:val="00C80F27"/>
    <w:rsid w:val="00C820F4"/>
    <w:rsid w:val="00C968F3"/>
    <w:rsid w:val="00C96F8D"/>
    <w:rsid w:val="00C97E2D"/>
    <w:rsid w:val="00CA65C0"/>
    <w:rsid w:val="00D043D7"/>
    <w:rsid w:val="00D117FB"/>
    <w:rsid w:val="00D1361B"/>
    <w:rsid w:val="00D2271A"/>
    <w:rsid w:val="00D23C2E"/>
    <w:rsid w:val="00D3175C"/>
    <w:rsid w:val="00D319D7"/>
    <w:rsid w:val="00D46F5C"/>
    <w:rsid w:val="00D528B3"/>
    <w:rsid w:val="00D547E7"/>
    <w:rsid w:val="00D61EC8"/>
    <w:rsid w:val="00D67643"/>
    <w:rsid w:val="00D77173"/>
    <w:rsid w:val="00D83295"/>
    <w:rsid w:val="00D91541"/>
    <w:rsid w:val="00D92F38"/>
    <w:rsid w:val="00D93516"/>
    <w:rsid w:val="00DA02D6"/>
    <w:rsid w:val="00DA7F4C"/>
    <w:rsid w:val="00DB41BC"/>
    <w:rsid w:val="00DB4A6B"/>
    <w:rsid w:val="00DC5F94"/>
    <w:rsid w:val="00DE152F"/>
    <w:rsid w:val="00DE293B"/>
    <w:rsid w:val="00DF3AC1"/>
    <w:rsid w:val="00DF3BF4"/>
    <w:rsid w:val="00E017D5"/>
    <w:rsid w:val="00E03D1A"/>
    <w:rsid w:val="00E05626"/>
    <w:rsid w:val="00E06F8E"/>
    <w:rsid w:val="00E07218"/>
    <w:rsid w:val="00E13AD2"/>
    <w:rsid w:val="00E237B3"/>
    <w:rsid w:val="00E23E14"/>
    <w:rsid w:val="00E25B2F"/>
    <w:rsid w:val="00E277A9"/>
    <w:rsid w:val="00E354AF"/>
    <w:rsid w:val="00E373A5"/>
    <w:rsid w:val="00E420BA"/>
    <w:rsid w:val="00E43AC8"/>
    <w:rsid w:val="00E5330E"/>
    <w:rsid w:val="00E56D83"/>
    <w:rsid w:val="00E66A4D"/>
    <w:rsid w:val="00E72B1C"/>
    <w:rsid w:val="00E77714"/>
    <w:rsid w:val="00E821FA"/>
    <w:rsid w:val="00E86A35"/>
    <w:rsid w:val="00E96169"/>
    <w:rsid w:val="00EB3EB1"/>
    <w:rsid w:val="00EC29F3"/>
    <w:rsid w:val="00ED2272"/>
    <w:rsid w:val="00EE0CC9"/>
    <w:rsid w:val="00EE1E22"/>
    <w:rsid w:val="00EE6EE0"/>
    <w:rsid w:val="00EF77A9"/>
    <w:rsid w:val="00F020CD"/>
    <w:rsid w:val="00F0215C"/>
    <w:rsid w:val="00F06694"/>
    <w:rsid w:val="00F066E3"/>
    <w:rsid w:val="00F0780F"/>
    <w:rsid w:val="00F16D54"/>
    <w:rsid w:val="00F172E6"/>
    <w:rsid w:val="00F316A9"/>
    <w:rsid w:val="00F52EDE"/>
    <w:rsid w:val="00F553F4"/>
    <w:rsid w:val="00F6015C"/>
    <w:rsid w:val="00F75715"/>
    <w:rsid w:val="00F77E69"/>
    <w:rsid w:val="00F83A82"/>
    <w:rsid w:val="00FA1BDA"/>
    <w:rsid w:val="00FA3A2F"/>
    <w:rsid w:val="00FB1736"/>
    <w:rsid w:val="00FB2E2F"/>
    <w:rsid w:val="00FC4B92"/>
    <w:rsid w:val="00FD300A"/>
    <w:rsid w:val="00FD3047"/>
    <w:rsid w:val="00FE420B"/>
    <w:rsid w:val="00FF137F"/>
    <w:rsid w:val="00FF6959"/>
    <w:rsid w:val="00FF6C14"/>
    <w:rsid w:val="01BE6316"/>
    <w:rsid w:val="24E73B1F"/>
    <w:rsid w:val="26F03C06"/>
    <w:rsid w:val="2A547683"/>
    <w:rsid w:val="2D543678"/>
    <w:rsid w:val="47051FE1"/>
    <w:rsid w:val="667765BF"/>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2"/>
    <w:qFormat/>
    <w:uiPriority w:val="9"/>
    <w:rPr>
      <w:rFonts w:ascii="Times New Roman" w:hAnsi="Times New Roman" w:eastAsia="黑体" w:cs="Arial"/>
      <w:b/>
      <w:bCs/>
      <w:kern w:val="44"/>
      <w:sz w:val="28"/>
      <w:szCs w:val="44"/>
    </w:rPr>
  </w:style>
  <w:style w:type="paragraph" w:styleId="17">
    <w:name w:val="List Paragraph"/>
    <w:basedOn w:val="1"/>
    <w:link w:val="36"/>
    <w:qFormat/>
    <w:uiPriority w:val="99"/>
    <w:pPr>
      <w:ind w:firstLine="420" w:firstLineChars="200"/>
    </w:pPr>
  </w:style>
  <w:style w:type="character" w:customStyle="1" w:styleId="18">
    <w:name w:val="页眉 Char"/>
    <w:basedOn w:val="14"/>
    <w:link w:val="8"/>
    <w:qFormat/>
    <w:uiPriority w:val="99"/>
    <w:rPr>
      <w:sz w:val="18"/>
      <w:szCs w:val="18"/>
    </w:rPr>
  </w:style>
  <w:style w:type="character" w:customStyle="1" w:styleId="19">
    <w:name w:val="页脚 Char"/>
    <w:basedOn w:val="14"/>
    <w:link w:val="7"/>
    <w:qFormat/>
    <w:uiPriority w:val="99"/>
    <w:rPr>
      <w:sz w:val="18"/>
      <w:szCs w:val="18"/>
    </w:rPr>
  </w:style>
  <w:style w:type="character" w:customStyle="1" w:styleId="20">
    <w:name w:val="批注框文本 Char"/>
    <w:basedOn w:val="14"/>
    <w:link w:val="6"/>
    <w:semiHidden/>
    <w:qFormat/>
    <w:uiPriority w:val="99"/>
    <w:rPr>
      <w:sz w:val="18"/>
      <w:szCs w:val="18"/>
    </w:rPr>
  </w:style>
  <w:style w:type="paragraph" w:customStyle="1" w:styleId="21">
    <w:name w:val="标题1"/>
    <w:basedOn w:val="2"/>
    <w:qFormat/>
    <w:uiPriority w:val="0"/>
    <w:pPr>
      <w:spacing w:before="120" w:after="120" w:line="500" w:lineRule="exact"/>
      <w:ind w:firstLine="200" w:firstLineChars="200"/>
    </w:pPr>
    <w:rPr>
      <w:rFonts w:cs="Times New Roman"/>
      <w:sz w:val="32"/>
      <w:szCs w:val="32"/>
    </w:rPr>
  </w:style>
  <w:style w:type="character" w:customStyle="1" w:styleId="22">
    <w:name w:val="标题 2 Char"/>
    <w:basedOn w:val="14"/>
    <w:link w:val="3"/>
    <w:qFormat/>
    <w:uiPriority w:val="9"/>
    <w:rPr>
      <w:rFonts w:asciiTheme="majorHAnsi" w:hAnsiTheme="majorHAnsi" w:eastAsiaTheme="majorEastAsia" w:cstheme="majorBidi"/>
      <w:b/>
      <w:bCs/>
      <w:sz w:val="32"/>
      <w:szCs w:val="32"/>
    </w:rPr>
  </w:style>
  <w:style w:type="paragraph" w:customStyle="1" w:styleId="23">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Char"/>
    <w:basedOn w:val="14"/>
    <w:link w:val="4"/>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4"/>
    <w:link w:val="33"/>
    <w:unhideWhenUsed/>
    <w:qFormat/>
    <w:uiPriority w:val="0"/>
    <w:rPr>
      <w:rFonts w:ascii="MingLiU" w:hAnsi="MingLiU" w:eastAsia="MingLiU" w:cs="MingLiU"/>
      <w:sz w:val="20"/>
      <w:szCs w:val="20"/>
      <w:lang w:val="zh-TW" w:eastAsia="zh-TW" w:bidi="zh-TW"/>
    </w:rPr>
  </w:style>
  <w:style w:type="paragraph" w:customStyle="1" w:styleId="35">
    <w:name w:val="一级无"/>
    <w:basedOn w:val="1"/>
    <w:qFormat/>
    <w:uiPriority w:val="0"/>
    <w:pPr>
      <w:widowControl/>
      <w:numPr>
        <w:ilvl w:val="1"/>
        <w:numId w:val="2"/>
      </w:numPr>
      <w:jc w:val="left"/>
      <w:outlineLvl w:val="2"/>
    </w:pPr>
    <w:rPr>
      <w:rFonts w:ascii="宋体" w:hAnsi="Times New Roman" w:eastAsia="宋体" w:cs="Times New Roman"/>
      <w:kern w:val="0"/>
    </w:rPr>
  </w:style>
  <w:style w:type="character" w:customStyle="1" w:styleId="36">
    <w:name w:val="列出段落 Char"/>
    <w:basedOn w:val="14"/>
    <w:link w:val="17"/>
    <w:qFormat/>
    <w:locked/>
    <w:uiPriority w:val="99"/>
    <w:rPr>
      <w:rFonts w:asciiTheme="minorHAnsi" w:hAnsiTheme="minorHAnsi" w:eastAsiaTheme="minorEastAsia" w:cstheme="minorBid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FEDB20-B696-494F-AAA1-2F71E6566A7C}">
  <ds:schemaRefs/>
</ds:datastoreItem>
</file>

<file path=docProps/app.xml><?xml version="1.0" encoding="utf-8"?>
<Properties xmlns="http://schemas.openxmlformats.org/officeDocument/2006/extended-properties" xmlns:vt="http://schemas.openxmlformats.org/officeDocument/2006/docPropsVTypes">
  <Template>Normal</Template>
  <Pages>11</Pages>
  <Words>608</Words>
  <Characters>3467</Characters>
  <Lines>28</Lines>
  <Paragraphs>8</Paragraphs>
  <TotalTime>170</TotalTime>
  <ScaleCrop>false</ScaleCrop>
  <LinksUpToDate>false</LinksUpToDate>
  <CharactersWithSpaces>4067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dcterms:modified xsi:type="dcterms:W3CDTF">2020-09-05T05:28:28Z</dcterms:modified>
  <dc:title>新疆普天鹏华商务信息咨询有限公司</dc:title>
  <cp:revision>421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