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华文中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880" w:hanging="2880" w:hangingChars="800"/>
        <w:jc w:val="left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双集中机构设施改造、机构建设经费项目</w:t>
      </w:r>
    </w:p>
    <w:p>
      <w:pPr>
        <w:spacing w:line="700" w:lineRule="exact"/>
        <w:jc w:val="left"/>
        <w:rPr>
          <w:rFonts w:hint="eastAsia" w:ascii="仿宋" w:hAnsi="仿宋" w:eastAsia="仿宋" w:cs="仿宋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喀什地区儿童福利院</w:t>
      </w:r>
    </w:p>
    <w:p>
      <w:pPr>
        <w:spacing w:line="700" w:lineRule="exact"/>
        <w:ind w:firstLine="849" w:firstLineChars="236"/>
        <w:jc w:val="left"/>
        <w:rPr>
          <w:rFonts w:hint="eastAsia" w:ascii="仿宋" w:hAnsi="仿宋" w:eastAsia="仿宋" w:cs="仿宋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地区</w:t>
      </w: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喀什地区民政局</w:t>
      </w:r>
    </w:p>
    <w:p>
      <w:pPr>
        <w:spacing w:line="700" w:lineRule="exact"/>
        <w:ind w:firstLine="849" w:firstLineChars="236"/>
        <w:jc w:val="left"/>
        <w:rPr>
          <w:rFonts w:hint="eastAsia" w:ascii="仿宋" w:hAnsi="仿宋" w:eastAsia="仿宋" w:cs="仿宋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李琼</w:t>
      </w:r>
    </w:p>
    <w:p>
      <w:pPr>
        <w:spacing w:line="700" w:lineRule="exact"/>
        <w:ind w:firstLine="849" w:firstLineChars="236"/>
        <w:jc w:val="left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2018</w:t>
      </w:r>
      <w:r>
        <w:rPr>
          <w:rFonts w:hint="eastAsia" w:ascii="仿宋" w:hAnsi="仿宋" w:eastAsia="仿宋" w:cs="仿宋"/>
          <w:kern w:val="0"/>
          <w:sz w:val="36"/>
          <w:szCs w:val="36"/>
        </w:rPr>
        <w:t>年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36"/>
          <w:szCs w:val="36"/>
        </w:rPr>
        <w:t>月</w:t>
      </w:r>
      <w:r>
        <w:rPr>
          <w:rFonts w:hint="eastAsia" w:ascii="仿宋" w:hAnsi="仿宋" w:eastAsia="仿宋" w:cs="仿宋"/>
          <w:kern w:val="0"/>
          <w:sz w:val="36"/>
          <w:szCs w:val="36"/>
          <w:lang w:val="en-US" w:eastAsia="zh-CN"/>
        </w:rPr>
        <w:t>15</w:t>
      </w:r>
      <w:r>
        <w:rPr>
          <w:rFonts w:hint="eastAsia" w:ascii="仿宋" w:hAnsi="仿宋" w:eastAsia="仿宋" w:cs="仿宋"/>
          <w:kern w:val="0"/>
          <w:sz w:val="36"/>
          <w:szCs w:val="36"/>
        </w:rPr>
        <w:t>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喀什地区儿童福利院是喀什地区民政局下属福利事业单位，是全额拨款事业单位，位于喀什市乃则尔巴格路77号。单位目前有在职职工2</w:t>
      </w: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7</w:t>
      </w: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名，院内集中供养1</w:t>
      </w: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2</w:t>
      </w: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7名孤残儿童。目前根据院内孩子的实际情况，分为健康孩子与残疾孩子两个类型，内部机构主要设置有办公室、康复部、生活部、教务部、后勤部，主要负责院内孩子的康复医疗、学校教务</w:t>
      </w: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联系</w:t>
      </w: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、饮食住宿、生活管理和后勤服务，以确保孩子们的日常生活。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0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jc w:val="left"/>
        <w:textAlignment w:val="auto"/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项目预期目标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  <w:lang w:eastAsia="zh-CN"/>
        </w:rPr>
        <w:t>：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主要实施内容为：对福利院内的宿舍楼水电进行改造、对宿舍楼进行更换门、完成吊顶任务，完成食堂卫生区改造工程以及宿舍门门吸、管道维修工程，通过实施本项目有效改善福利机构生活条件，提升公共服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本项目性质为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新增性项目。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3、项目用途、范围以及主要内容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本项目的</w:t>
      </w:r>
      <w:bookmarkStart w:id="0" w:name="_Hlk532915079"/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用途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2018年</w:t>
      </w:r>
      <w:r>
        <w:rPr>
          <w:rFonts w:hint="eastAsia" w:ascii="仿宋" w:hAnsi="仿宋" w:eastAsia="仿宋" w:cs="仿宋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双集中机构设施改造、机构建设经费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主要内容</w:t>
      </w:r>
      <w:bookmarkEnd w:id="0"/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为：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宿舍楼水电改造项目，宿舍楼更换门、吊顶项目，食堂卫生区改造项目；宿舍门门吸、管道维修项目，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本年资金执行75.44万元。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本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项目预算安排总额为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78万元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，其中财政资金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万元，201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75.44万元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75.44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96.72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。项目资金主要用于我院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宿舍楼水电改造项目，宿舍楼更换门、吊顶项目，食堂卫生区改造项目；宿舍门门吸、管道维修项目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，支出合计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75.44万元。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我单位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Style w:val="20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该项目属于</w:t>
      </w: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新增</w:t>
      </w: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项目,没有</w:t>
      </w: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纳入到本地政府采购范畴内</w:t>
      </w: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,由本单位自行组织实施。实施过程均按照本单位制定的管理制度执行。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Style w:val="20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Style w:val="20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本项目不存在检查验收程序。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Style w:val="20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本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按照单位的财务管理制度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保障项目的顺利实施。项目的实施遵守相关法律法规和业务管理规定，项目资料齐全并及时归档。已建立《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项目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日常检查监督检查机制》，不定期对项目进度情况进行督导检查，对检查过程中发现的问题及时督促整改，确保了项目按时保质完成。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Style w:val="20"/>
          <w:rFonts w:ascii="黑体" w:hAnsi="黑体" w:eastAsia="黑体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20"/>
          <w:rFonts w:hint="eastAsia" w:ascii="黑体" w:hAnsi="黑体" w:eastAsia="黑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Style w:val="20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已完成三级指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个，指标完成率为</w:t>
      </w:r>
      <w:bookmarkStart w:id="1" w:name="_GoBack"/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91.67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%</w:t>
      </w:r>
      <w:bookmarkEnd w:id="1"/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效率性：工程项目完成率</w:t>
      </w: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为</w:t>
      </w: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  <w:t>100%，工程款支付完成率为97%。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Style w:val="20"/>
          <w:rFonts w:hint="eastAsia" w:ascii="仿宋" w:hAnsi="仿宋" w:eastAsia="仿宋"/>
          <w:b w:val="0"/>
          <w:bCs/>
          <w:color w:val="auto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福利机构生活条件情况不断改善提升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年本项目绩效目标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中工程支付率未达到预计指标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原因是工程项目质保金未支付，造成指标未完成。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项目实施后将按照固定资产改建扩建的要求，纳入单位固定资产管理范围，由资产使用部门进行日常的管理和维护。工程项目质保金按照合同约定申请资金支付。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pacing w:val="-4"/>
          <w:sz w:val="32"/>
          <w:szCs w:val="32"/>
        </w:rPr>
        <w:t>项目实施过程中，喀什地区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儿童福利院</w:t>
      </w:r>
      <w:r>
        <w:rPr>
          <w:rFonts w:hint="eastAsia" w:ascii="仿宋" w:hAnsi="仿宋" w:eastAsia="仿宋"/>
          <w:spacing w:val="-4"/>
          <w:sz w:val="32"/>
          <w:szCs w:val="32"/>
        </w:rPr>
        <w:t>根据相关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法律法规及单位财务规定</w:t>
      </w:r>
      <w:r>
        <w:rPr>
          <w:rFonts w:hint="eastAsia" w:ascii="仿宋" w:hAnsi="仿宋" w:eastAsia="仿宋"/>
          <w:spacing w:val="-4"/>
          <w:sz w:val="32"/>
          <w:szCs w:val="32"/>
        </w:rPr>
        <w:t>保障了项目的顺利实施。项目的实施遵守相关法律法规和业务管理规定，项目资料齐全并及时归档。建立了《项目日常检查监督机制》，不定期对项目进度情况进行督导检查，对检查过程中发现的问题及时督促整改，确保了项目按时保质完成；资金的拨付有完整的审批程序和手续，不存在截留、挤占、挪用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755" w:firstLineChars="242"/>
        <w:textAlignment w:val="auto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本项目不存在问题，无建议。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200"/>
        <w:textAlignment w:val="auto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ascii="仿宋" w:hAnsi="仿宋" w:eastAsia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无其他说明内容。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本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项目资金的使用效率和效果，项目管理过程规范，完成了预期绩效目标等。同时，通过开展自我评价来总结经验和教训，为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喀什地区本类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项目今后的开展提供参考建议。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365250"/>
    <w:rsid w:val="0036624C"/>
    <w:rsid w:val="00385849"/>
    <w:rsid w:val="0050167F"/>
    <w:rsid w:val="00514506"/>
    <w:rsid w:val="005162F1"/>
    <w:rsid w:val="00535153"/>
    <w:rsid w:val="005654DA"/>
    <w:rsid w:val="00575CFE"/>
    <w:rsid w:val="00592D09"/>
    <w:rsid w:val="00675D58"/>
    <w:rsid w:val="006E276E"/>
    <w:rsid w:val="006F2E6D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B526F"/>
    <w:rsid w:val="009C1AFD"/>
    <w:rsid w:val="00A26421"/>
    <w:rsid w:val="00A4293B"/>
    <w:rsid w:val="00A83BD5"/>
    <w:rsid w:val="00B06CA5"/>
    <w:rsid w:val="00B41F61"/>
    <w:rsid w:val="00B55332"/>
    <w:rsid w:val="00B86E8C"/>
    <w:rsid w:val="00BE1A00"/>
    <w:rsid w:val="00C13BF9"/>
    <w:rsid w:val="00C22CF0"/>
    <w:rsid w:val="00C56C72"/>
    <w:rsid w:val="00CA6457"/>
    <w:rsid w:val="00CC6E4D"/>
    <w:rsid w:val="00D17F2E"/>
    <w:rsid w:val="00D46194"/>
    <w:rsid w:val="00E01293"/>
    <w:rsid w:val="00E769FE"/>
    <w:rsid w:val="00EA2CBE"/>
    <w:rsid w:val="00F32FEE"/>
    <w:rsid w:val="02A629FC"/>
    <w:rsid w:val="07E85B88"/>
    <w:rsid w:val="09F03605"/>
    <w:rsid w:val="0E2F5506"/>
    <w:rsid w:val="147B7D1F"/>
    <w:rsid w:val="1D5E33C5"/>
    <w:rsid w:val="1E0B7BF9"/>
    <w:rsid w:val="23822C37"/>
    <w:rsid w:val="2C957A2D"/>
    <w:rsid w:val="32B93680"/>
    <w:rsid w:val="37CB3403"/>
    <w:rsid w:val="388D7085"/>
    <w:rsid w:val="3A1C31D0"/>
    <w:rsid w:val="3B2B0352"/>
    <w:rsid w:val="40971B58"/>
    <w:rsid w:val="4509166B"/>
    <w:rsid w:val="455109B8"/>
    <w:rsid w:val="643F423F"/>
    <w:rsid w:val="66A67AE7"/>
    <w:rsid w:val="713375A3"/>
    <w:rsid w:val="75BC2558"/>
    <w:rsid w:val="79457BBB"/>
    <w:rsid w:val="7EB62C97"/>
    <w:rsid w:val="7F60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Balloon Text"/>
    <w:basedOn w:val="1"/>
    <w:link w:val="48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5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6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字符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字符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字符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字符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字符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字符"/>
    <w:basedOn w:val="19"/>
    <w:link w:val="7"/>
    <w:semiHidden/>
    <w:qFormat/>
    <w:uiPriority w:val="9"/>
    <w:rPr>
      <w:b/>
      <w:bCs/>
    </w:rPr>
  </w:style>
  <w:style w:type="character" w:customStyle="1" w:styleId="28">
    <w:name w:val="标题 7 字符"/>
    <w:basedOn w:val="19"/>
    <w:link w:val="8"/>
    <w:semiHidden/>
    <w:qFormat/>
    <w:uiPriority w:val="9"/>
    <w:rPr>
      <w:sz w:val="24"/>
      <w:szCs w:val="24"/>
    </w:rPr>
  </w:style>
  <w:style w:type="character" w:customStyle="1" w:styleId="29">
    <w:name w:val="标题 8 字符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字符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字符"/>
    <w:basedOn w:val="19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字符"/>
    <w:basedOn w:val="19"/>
    <w:link w:val="16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字符"/>
    <w:basedOn w:val="19"/>
    <w:link w:val="35"/>
    <w:qFormat/>
    <w:uiPriority w:val="29"/>
    <w:rPr>
      <w:i/>
      <w:sz w:val="24"/>
      <w:szCs w:val="24"/>
    </w:rPr>
  </w:style>
  <w:style w:type="paragraph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字符"/>
    <w:basedOn w:val="19"/>
    <w:link w:val="37"/>
    <w:qFormat/>
    <w:uiPriority w:val="30"/>
    <w:rPr>
      <w:b/>
      <w:i/>
      <w:sz w:val="24"/>
    </w:rPr>
  </w:style>
  <w:style w:type="character" w:customStyle="1" w:styleId="39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0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1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2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3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字符"/>
    <w:basedOn w:val="19"/>
    <w:link w:val="15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字符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文档结构图 字符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8">
    <w:name w:val="批注框文本 字符"/>
    <w:basedOn w:val="19"/>
    <w:link w:val="13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C5FA9B-17ED-42FC-980A-EBC54968E4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276</Words>
  <Characters>1576</Characters>
  <Lines>13</Lines>
  <Paragraphs>3</Paragraphs>
  <TotalTime>7</TotalTime>
  <ScaleCrop>false</ScaleCrop>
  <LinksUpToDate>false</LinksUpToDate>
  <CharactersWithSpaces>1849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我叫路人乙</cp:lastModifiedBy>
  <cp:lastPrinted>2018-12-17T10:15:00Z</cp:lastPrinted>
  <dcterms:modified xsi:type="dcterms:W3CDTF">2019-08-25T02:52:50Z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