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2018年度新疆维吾尔自治区喀什地区干部培训中心部门决算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培训乡镇公务员选派大学生培训工作。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新疆维吾尔自治区喀什地区干部培训中心</w:t>
      </w:r>
      <w:r>
        <w:rPr>
          <w:rFonts w:hint="eastAsia" w:ascii="仿宋_GB2312" w:eastAsia="仿宋_GB2312"/>
          <w:sz w:val="32"/>
          <w:szCs w:val="32"/>
        </w:rPr>
        <w:t>部门决算包括：</w:t>
      </w:r>
      <w:r>
        <w:rPr>
          <w:rFonts w:ascii="仿宋_GB2312" w:eastAsia="仿宋_GB2312"/>
          <w:sz w:val="32"/>
          <w:szCs w:val="32"/>
        </w:rPr>
        <w:t>新疆维吾尔自治区喀什地区干部培训中心</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新疆维吾尔自治区喀什地区干部培训中心</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新疆维吾尔自治区喀什地区干部培训中心</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321.07</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，与上年相比，增加186.37万元，增长138.36%，增加的主要原因是：</w:t>
      </w:r>
      <w:r>
        <w:rPr>
          <w:rFonts w:hint="eastAsia" w:ascii="仿宋_GB2312" w:eastAsia="仿宋_GB2312"/>
          <w:color w:val="000000" w:themeColor="text1"/>
          <w:sz w:val="32"/>
          <w:szCs w:val="32"/>
        </w:rPr>
        <w:t>上级补助收入增加了193.24万元；</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222.67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，与上年相比，增加23.44万元，增长11.77%，增加的主要原因是：</w:t>
      </w:r>
      <w:r>
        <w:rPr>
          <w:rFonts w:hint="eastAsia" w:ascii="仿宋_GB2312" w:eastAsia="仿宋_GB2312"/>
          <w:color w:val="000000" w:themeColor="text1"/>
          <w:sz w:val="32"/>
          <w:szCs w:val="32"/>
        </w:rPr>
        <w:t>行政事业类项目支出增加了20.94万元，主要用于干部培训；</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171.8</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，与上年相比，减少47.56万元，下降21.68%，减少的主要原因是：</w:t>
      </w:r>
      <w:r>
        <w:rPr>
          <w:rFonts w:ascii="仿宋_GB2312" w:eastAsia="仿宋_GB2312"/>
          <w:color w:val="000000" w:themeColor="text1"/>
          <w:sz w:val="32"/>
          <w:szCs w:val="32"/>
        </w:rPr>
        <w:t>今年年初结转结余和收入少，支出多。去年年初结转结余多，支出少。</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321.07</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127.83</w:t>
      </w:r>
      <w:r>
        <w:rPr>
          <w:rFonts w:hint="eastAsia" w:ascii="仿宋_GB2312" w:eastAsia="仿宋_GB2312"/>
          <w:color w:val="000000" w:themeColor="text1"/>
          <w:sz w:val="32"/>
          <w:szCs w:val="32"/>
        </w:rPr>
        <w:t>万元，占</w:t>
      </w:r>
      <w:r>
        <w:rPr>
          <w:rFonts w:hint="eastAsia" w:ascii="仿宋_GB2312" w:eastAsia="仿宋_GB2312"/>
          <w:sz w:val="32"/>
          <w:szCs w:val="32"/>
        </w:rPr>
        <w:t>39.81%</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193.24</w:t>
      </w:r>
      <w:r>
        <w:rPr>
          <w:rFonts w:hint="eastAsia" w:ascii="仿宋_GB2312" w:eastAsia="仿宋_GB2312"/>
          <w:color w:val="000000" w:themeColor="text1"/>
          <w:sz w:val="32"/>
          <w:szCs w:val="32"/>
        </w:rPr>
        <w:t>万元，占</w:t>
      </w:r>
      <w:r>
        <w:rPr>
          <w:rFonts w:hint="eastAsia" w:ascii="仿宋_GB2312" w:eastAsia="仿宋_GB2312"/>
          <w:sz w:val="32"/>
          <w:szCs w:val="32"/>
        </w:rPr>
        <w:t>60.19%</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况：本年收入年初预算数126.64万元</w:t>
      </w:r>
      <w:r>
        <w:rPr>
          <w:rFonts w:hint="eastAsia" w:ascii="仿宋_GB2312" w:eastAsia="仿宋_GB2312"/>
          <w:sz w:val="32"/>
          <w:szCs w:val="32"/>
        </w:rPr>
        <w:t>，决算数321.07万元</w:t>
      </w:r>
      <w:r>
        <w:rPr>
          <w:rFonts w:ascii="仿宋_GB2312" w:eastAsia="仿宋_GB2312"/>
          <w:sz w:val="32"/>
          <w:szCs w:val="32"/>
        </w:rPr>
        <w:t>，预决算差异率153.53%，差异主要原因是:上级补助收入年初预算数为零，后期上级补助预算收入调整193.24万元，用于干部培训。</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222.67</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127.83</w:t>
      </w:r>
      <w:r>
        <w:rPr>
          <w:rFonts w:hint="eastAsia" w:ascii="仿宋_GB2312" w:eastAsia="仿宋_GB2312"/>
          <w:color w:val="000000" w:themeColor="text1"/>
          <w:sz w:val="32"/>
          <w:szCs w:val="32"/>
        </w:rPr>
        <w:t>万元，占</w:t>
      </w:r>
      <w:r>
        <w:rPr>
          <w:rFonts w:hint="eastAsia" w:ascii="仿宋_GB2312" w:eastAsia="仿宋_GB2312"/>
          <w:sz w:val="32"/>
          <w:szCs w:val="32"/>
        </w:rPr>
        <w:t>57.41%</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94.84</w:t>
      </w:r>
      <w:r>
        <w:rPr>
          <w:rFonts w:hint="eastAsia" w:ascii="仿宋_GB2312" w:eastAsia="仿宋_GB2312"/>
          <w:color w:val="000000" w:themeColor="text1"/>
          <w:sz w:val="32"/>
          <w:szCs w:val="32"/>
        </w:rPr>
        <w:t>万元，占</w:t>
      </w:r>
      <w:r>
        <w:rPr>
          <w:rFonts w:hint="eastAsia" w:ascii="仿宋_GB2312" w:eastAsia="仿宋_GB2312"/>
          <w:sz w:val="32"/>
          <w:szCs w:val="32"/>
        </w:rPr>
        <w:t>42.59%</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与年初预算数相比情况：本年支出年初预算数126.64万元，</w:t>
      </w:r>
      <w:r>
        <w:rPr>
          <w:rFonts w:hint="eastAsia" w:ascii="仿宋_GB2312" w:eastAsia="仿宋_GB2312"/>
          <w:sz w:val="32"/>
          <w:szCs w:val="32"/>
        </w:rPr>
        <w:t>决算数222.67万元</w:t>
      </w:r>
      <w:r>
        <w:rPr>
          <w:rFonts w:ascii="仿宋_GB2312" w:eastAsia="仿宋_GB2312"/>
          <w:sz w:val="32"/>
          <w:szCs w:val="32"/>
        </w:rPr>
        <w:t>，预决算差异率75.83%，差异主要原因是:行政事业类项目年初预算数为零，后期行政事业类项目进行了预算调整，用于干部培训。</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127.83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，与上年相比，增加11.93万元，增长10.29%，增加的主要原因是：新录用职员，人员经费和日常公用经费增加。</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127.83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，与上年相比，增加11.93万元，增长10.29%，增加的主要原因是：</w:t>
      </w:r>
      <w:r>
        <w:rPr>
          <w:rFonts w:ascii="仿宋_GB2312" w:eastAsia="仿宋_GB2312"/>
          <w:sz w:val="32"/>
          <w:szCs w:val="32"/>
        </w:rPr>
        <w:t>新录用职员，人员经费和日常公用经费增加。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127.83</w:t>
      </w:r>
      <w:r>
        <w:rPr>
          <w:rFonts w:hint="eastAsia" w:ascii="仿宋_GB2312" w:eastAsia="仿宋_GB2312"/>
          <w:color w:val="000000" w:themeColor="text1"/>
          <w:sz w:val="32"/>
          <w:szCs w:val="32"/>
        </w:rPr>
        <w:t>万元，项目支出</w:t>
      </w:r>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bookmarkStart w:id="92" w:name="_GoBack"/>
      <w:bookmarkEnd w:id="92"/>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126.64</w:t>
      </w:r>
      <w:r>
        <w:rPr>
          <w:rFonts w:hint="eastAsia" w:ascii="仿宋_GB2312" w:eastAsia="仿宋_GB2312"/>
          <w:color w:val="000000" w:themeColor="text1"/>
          <w:sz w:val="32"/>
          <w:szCs w:val="32"/>
        </w:rPr>
        <w:t>万元，决算数</w:t>
      </w:r>
      <w:r>
        <w:rPr>
          <w:rFonts w:hint="eastAsia" w:ascii="仿宋_GB2312" w:eastAsia="仿宋_GB2312"/>
          <w:sz w:val="32"/>
          <w:szCs w:val="32"/>
        </w:rPr>
        <w:t>127.83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，预决算差异率0.94%，差异主要原因是:新录用职员，人员经费和日常公用经费增加。</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126.64</w:t>
      </w:r>
      <w:r>
        <w:rPr>
          <w:rFonts w:hint="eastAsia" w:ascii="仿宋_GB2312" w:eastAsia="仿宋_GB2312"/>
          <w:color w:val="000000" w:themeColor="text1"/>
          <w:sz w:val="32"/>
          <w:szCs w:val="32"/>
        </w:rPr>
        <w:t>万元，决算数</w:t>
      </w:r>
      <w:r>
        <w:rPr>
          <w:rFonts w:hint="eastAsia" w:ascii="仿宋_GB2312" w:eastAsia="仿宋_GB2312"/>
          <w:sz w:val="32"/>
          <w:szCs w:val="32"/>
        </w:rPr>
        <w:t>127.83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，预决算差异率0.94%，差异主要原因是:新录用职员，人员经费和日常公用经费增加。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127.83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，与上年相比，增加11.93万元，增长10.29%，增加的主要原因是：新录用职员，人员经费和日常公用经费增加。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127.83</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，与上年相比，增加11.93万元，增长10.29%，增加的主要原因是：新录用职员，人员经费和日常公用经费增加。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教育支出114.8万元,社会保障和就业支出13.03万元。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工资福利支出122.77万元,商品和服务支出1.87万元,对个人和家庭的补助3.2万元。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126.64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127.83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，预决算差异率0.94%，差异主要原因是:新录用职员，人员经费和日常公用经费增加。</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126.64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127.83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，预决算差异率0.94%，差异主要原因是:新录用职员，人员经费和日常公用经费增加。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171.8</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。与上年相比，减少47.56万元，下降21.68%</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，与上年相比，减少1.3万元，下降100%，减少的主要原因是：2018年未支出“三公经费。</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0%，与上年相比，减少1.3万元，下降100%，减少的主要原因是：今年车辆未进行维修；</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新疆维吾尔自治区喀什地区干部培训中心</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无公务用车</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新疆维吾尔自治区喀什地区干部培训中心</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1.3</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，预决算差异率-100%，差异主要原因是:本年无“三公经费”支出，所以与预算存在差异。</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1.3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，预决算差异率-100%，差异主要原因是:车辆使用较少，未进行维修；</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新疆维吾尔自治区喀什地区干部培训中心日常公用经费1.87万元，与上年相比，减少2.76万元，下降59.61%，减少的主要原因是：办公耗材减少，更加合理使用办公用品。</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2.03</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2.03</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w:t>
      </w:r>
      <w:r>
        <w:rPr>
          <w:rFonts w:hint="eastAsia" w:ascii="仿宋_GB2312" w:eastAsia="仿宋_GB2312"/>
          <w:color w:val="000000" w:themeColor="text1"/>
          <w:sz w:val="32"/>
          <w:szCs w:val="32"/>
        </w:rPr>
        <w:t>辆，价值</w:t>
      </w:r>
      <w:r>
        <w:rPr>
          <w:rFonts w:hint="eastAsia" w:ascii="仿宋_GB2312" w:eastAsia="仿宋_GB2312"/>
          <w:sz w:val="32"/>
          <w:szCs w:val="32"/>
        </w:rPr>
        <w:t>25.35</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1</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单位业务用车；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严格把控项目资金，完成预算绩效管理。</w:t>
      </w:r>
    </w:p>
    <w:p>
      <w:pPr>
        <w:spacing w:line="540" w:lineRule="exact"/>
        <w:ind w:left="-1" w:right="-1" w:firstLine="646"/>
        <w:jc w:val="left"/>
      </w:pPr>
      <w:r>
        <w:rPr>
          <w:rFonts w:ascii="仿宋_GB2312" w:hAnsi="仿宋_GB2312" w:eastAsia="仿宋_GB2312" w:cs="仿宋_GB2312"/>
          <w:b w:val="0"/>
          <w:color w:val="auto"/>
          <w:sz w:val="32"/>
          <w:u w:val="none"/>
        </w:rPr>
        <w:t>1、培训后勤项目绩效自评综述：根据年初设定的绩效目标，该项目绩效自评得分为86分。项目全年预算数为9.42万元，执行数为9.42万元，完成预算的100%。主要产出和效果：用于培训学员就餐食堂人员劳务费及天然气购置费，保障2名炊事员的工资发放，通过实施本项目满足培训学员的用餐需求，提升中心公共服务能力和业务保障能力，确保机构正常运行。本项目在实际执行过程中，严格按照工资标准、市场天然气单价、实际使用量进行核算，严格控制预算资金成本，未发生超预算资金的情况，成本控制较好；确保了食堂人员配备齐全，食堂正常运行；保证培训学员的正常培训，显著提升新录用公务员整体素质，受益整体素质达到95%以上。发现的问题及原因：不存在问题。下一步改进措施： 在后续时间内继续按照项目资金使用管理制度，按照国库集中支付的要求，做好项目资金的使用和支付。</w:t>
      </w:r>
    </w:p>
    <w:p>
      <w:pPr>
        <w:spacing w:line="540" w:lineRule="exact"/>
        <w:ind w:left="-1" w:right="-1" w:firstLine="646"/>
        <w:jc w:val="left"/>
      </w:pPr>
      <w:r>
        <w:rPr>
          <w:rFonts w:ascii="仿宋_GB2312" w:hAnsi="仿宋_GB2312" w:eastAsia="仿宋_GB2312" w:cs="仿宋_GB2312"/>
          <w:b w:val="0"/>
          <w:color w:val="auto"/>
          <w:sz w:val="32"/>
          <w:u w:val="none"/>
        </w:rPr>
        <w:t>2、培训费（伙食费）项目绩效自评综述：根据年初设定的绩效目标，该项目绩效自评得分为92分。项目全年预算数为75.89万元，执行数为75.89万元，完成预算的100%。主要产出和效果：本项目购买学员食堂面粉、清油、大米、牛奶费用均为政府采购项目，实施过程均按照地区财政政府采购办法及本单位制定的管理制度执行。在项目实际执行过程中，我单位严格控制费用支出，各项费用支出结算合规、合法，未发生超预算的情况；确保了学员食堂学员伙食质量100%合格，食堂正常运行；保证培训学员的正常培训，显著提升新录用公务员整体素质，受益整体素质达到95%以上。发现的问题及原因：不存在问题。下一步改进措施： 在后续时间内继续按照项目资金使用管理制度，按照国库集中支付的要求，做好项目资金的使用和支付。</w:t>
      </w:r>
    </w:p>
    <w:p>
      <w:pPr>
        <w:spacing w:line="540" w:lineRule="exact"/>
        <w:ind w:left="-1" w:right="-1" w:firstLine="646"/>
        <w:jc w:val="left"/>
      </w:pPr>
      <w:r>
        <w:rPr>
          <w:rFonts w:ascii="仿宋_GB2312" w:hAnsi="仿宋_GB2312" w:eastAsia="仿宋_GB2312" w:cs="仿宋_GB2312"/>
          <w:b w:val="0"/>
          <w:color w:val="auto"/>
          <w:sz w:val="32"/>
          <w:u w:val="none"/>
        </w:rPr>
        <w:t>3、办公费、手续费、邮电费、维护费项目绩效自评综述：根据年初设定的绩效目标，该项目绩效自评得分为94分。项目全年预算数为9.53万元，执行数为9.53万元，完成预算的100%。主要产出和效果：项目资金主要用于支付办公费用0.11万元、手续费用0.1万元、邮电费用0.5万元、维修费用8.79万元。本项目在实际执行过程中严格控制各项费用支出，费用结算均按照资金管理办法支出，未发生超预算的情况，成本控制较好；确保了培训工作及培训学员食宿正常运行；保证培训学员的正常培训，显著提升新录用公务员整体素质，受益整体素质达到95%以上。发现的问题及原因：不存在问题。下一步改进措施： 在后续时间内继续按照项目资金使用管理制度，按照国库集中支付的要求，做好项目资金的使用和支付。</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205（类）08（款）02（项）指：干部教育。208（类）05（款）05（项）指：机关事业单位基本养老保险缴费支出。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izyEVJIoKjvkEPmQN3daFaVYGZU=" w:salt="HYlkb+dUfmAWkFuiqtg6a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2F5C"/>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1153BB"/>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284</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2021-07-01T09:06:19Z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