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r>
        <w:rPr>
          <w:rFonts w:hint="eastAsia" w:ascii="仿宋" w:hAnsi="仿宋" w:eastAsia="仿宋" w:cs="宋体"/>
          <w:b/>
          <w:kern w:val="0"/>
          <w:sz w:val="52"/>
          <w:szCs w:val="52"/>
        </w:rPr>
        <w:t>新疆财政支出绩效自评报告</w:t>
      </w:r>
    </w:p>
    <w:p>
      <w:pPr>
        <w:spacing w:line="540" w:lineRule="exact"/>
        <w:jc w:val="center"/>
        <w:rPr>
          <w:rFonts w:ascii="仿宋" w:hAnsi="仿宋" w:eastAsia="仿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项目名称：避孕药具业务经费项目</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项目负责人（签章）：张晓丽</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 12月15日</w:t>
      </w:r>
    </w:p>
    <w:p>
      <w:pPr>
        <w:spacing w:line="540" w:lineRule="exact"/>
        <w:jc w:val="center"/>
        <w:rPr>
          <w:rFonts w:hAnsi="宋体" w:eastAsia="仿宋_GB2312" w:cs="宋体"/>
          <w:kern w:val="0"/>
          <w:sz w:val="30"/>
          <w:szCs w:val="30"/>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pStyle w:val="16"/>
        <w:shd w:val="clear" w:color="auto" w:fill="FFFFFF"/>
        <w:spacing w:before="0" w:beforeAutospacing="0" w:after="0" w:line="520" w:lineRule="exact"/>
        <w:ind w:firstLine="640" w:firstLineChars="200"/>
        <w:rPr>
          <w:rStyle w:val="20"/>
          <w:rFonts w:ascii="仿宋" w:hAnsi="仿宋" w:eastAsia="仿宋"/>
          <w:b w:val="0"/>
          <w:color w:val="FF0000"/>
          <w:spacing w:val="-4"/>
          <w:sz w:val="32"/>
          <w:szCs w:val="32"/>
        </w:rPr>
      </w:pPr>
      <w:r>
        <w:rPr>
          <w:rFonts w:hint="eastAsia" w:ascii="仿宋" w:hAnsi="仿宋" w:eastAsia="仿宋" w:cs="Arial"/>
          <w:sz w:val="32"/>
          <w:szCs w:val="32"/>
        </w:rPr>
        <w:t>喀什地区计划生育药具供应管理站2018年度决算实有在职人员3人，退休人员3人。截止2018年12月底实有在职人数3人，退休3人，属于全额预算事业单位。</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项目预期目标：</w:t>
      </w:r>
      <w:r>
        <w:rPr>
          <w:rFonts w:hint="eastAsia" w:ascii="仿宋" w:hAnsi="仿宋" w:eastAsia="仿宋" w:cs="仿宋"/>
          <w:bCs/>
          <w:spacing w:val="-4"/>
          <w:sz w:val="32"/>
          <w:szCs w:val="32"/>
        </w:rPr>
        <w:t>①计划购买台式电脑≤2台，单价≤6000元/台；②计划购买笔记本电脑1台≥1台，单价≤4520元；③计划举办1期业务县乡培训班≥50人，单价≤180元/人；④药具知识宣传卡片≥19000张，单价≤0.7元/张；⑤办公费一批≥1批，金额1.93万元，⑥政府采购率≥90%；⑦采购质量合格率≥90%；⑧采购验收通过率≥90%；合同签订后供货时间30以内；⑨办公效率有效提升；⑩使用人满意度</w:t>
      </w:r>
      <w:r>
        <w:rPr>
          <w:rFonts w:hint="eastAsia" w:ascii="仿宋" w:hAnsi="仿宋" w:eastAsia="仿宋"/>
          <w:bCs/>
          <w:spacing w:val="-4"/>
          <w:sz w:val="32"/>
          <w:szCs w:val="32"/>
        </w:rPr>
        <w:t>90%以上，持续开展药具知识宣传工作。</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3、项目用途、范围以及主要内容</w:t>
      </w:r>
    </w:p>
    <w:p>
      <w:pPr>
        <w:spacing w:line="54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本项目主要用于避孕药具业务人员购买办公用品，更换年久损坏的办公设备，用于宣传卡片印刷等以便于更好的开展工作，提高工作效率。</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spacing w:val="-4"/>
          <w:sz w:val="32"/>
          <w:szCs w:val="32"/>
        </w:rPr>
      </w:pPr>
      <w:r>
        <w:rPr>
          <w:rFonts w:hint="eastAsia" w:ascii="仿宋" w:hAnsi="仿宋" w:eastAsia="仿宋"/>
          <w:sz w:val="32"/>
          <w:szCs w:val="32"/>
        </w:rPr>
        <w:t>避孕药具业务费</w:t>
      </w:r>
      <w:r>
        <w:rPr>
          <w:rFonts w:hint="eastAsia" w:ascii="仿宋" w:hAnsi="仿宋" w:eastAsia="仿宋"/>
          <w:bCs/>
          <w:spacing w:val="-4"/>
          <w:sz w:val="32"/>
          <w:szCs w:val="32"/>
        </w:rPr>
        <w:t>项目预算安排总额为5.6万元，其中财政资金0万元，其他资金5.6万元，2018年实际收到预算资金5.57万元。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避孕药具业务经费项目实际支付资金5.57万元，预算执行率</w:t>
      </w:r>
      <w:r>
        <w:rPr>
          <w:rFonts w:hint="eastAsia" w:ascii="仿宋" w:hAnsi="仿宋" w:eastAsia="仿宋"/>
          <w:bCs/>
          <w:spacing w:val="-4"/>
          <w:sz w:val="32"/>
          <w:szCs w:val="32"/>
          <w:lang w:val="en-US" w:eastAsia="zh-CN"/>
        </w:rPr>
        <w:t>99.46</w:t>
      </w:r>
      <w:r>
        <w:rPr>
          <w:rFonts w:ascii="仿宋" w:hAnsi="仿宋" w:eastAsia="仿宋"/>
          <w:bCs/>
          <w:spacing w:val="-4"/>
          <w:sz w:val="32"/>
          <w:szCs w:val="32"/>
        </w:rPr>
        <w:t>%</w:t>
      </w:r>
      <w:r>
        <w:rPr>
          <w:rFonts w:hint="eastAsia" w:ascii="仿宋" w:hAnsi="仿宋" w:eastAsia="仿宋"/>
          <w:bCs/>
          <w:spacing w:val="-4"/>
          <w:sz w:val="32"/>
          <w:szCs w:val="32"/>
        </w:rPr>
        <w:t>。项目资金主要用于支付购买台式电脑2台支付1.09万元、购买笔记本电脑1台支付0.45万元，举办县乡业务培训班50人支付0.83万元，印刷药具知识宣传卡片2万份支付金额1.33万元，办公费1批1.9万元。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20"/>
          <w:rFonts w:ascii="仿宋" w:hAnsi="仿宋" w:eastAsia="仿宋"/>
          <w:b w:val="0"/>
          <w:bCs w:val="0"/>
          <w:spacing w:val="-4"/>
          <w:sz w:val="32"/>
          <w:szCs w:val="32"/>
        </w:rPr>
      </w:pPr>
      <w:r>
        <w:rPr>
          <w:rFonts w:hint="eastAsia" w:ascii="仿宋" w:hAnsi="仿宋" w:eastAsia="仿宋"/>
          <w:bCs/>
          <w:spacing w:val="-4"/>
          <w:sz w:val="32"/>
          <w:szCs w:val="32"/>
        </w:rPr>
        <w:t>本项目支出符合喀什地区计划生育药具供应管理站相关财务管理制度，资金的拨付有完整的审批程序和手续，</w:t>
      </w:r>
      <w:r>
        <w:rPr>
          <w:rStyle w:val="20"/>
          <w:rFonts w:hint="eastAsia" w:ascii="仿宋" w:hAnsi="仿宋" w:eastAsia="仿宋"/>
          <w:b w:val="0"/>
          <w:spacing w:val="-4"/>
          <w:sz w:val="32"/>
          <w:szCs w:val="32"/>
        </w:rPr>
        <w:t>采取政府采购购买方式，</w:t>
      </w:r>
      <w:r>
        <w:rPr>
          <w:rFonts w:hint="eastAsia" w:ascii="仿宋" w:hAnsi="仿宋" w:eastAsia="仿宋"/>
          <w:bCs/>
          <w:spacing w:val="-4"/>
          <w:sz w:val="32"/>
          <w:szCs w:val="32"/>
        </w:rPr>
        <w:t>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spacing w:line="540" w:lineRule="exact"/>
        <w:ind w:firstLine="624" w:firstLineChars="200"/>
        <w:rPr>
          <w:rStyle w:val="20"/>
          <w:rFonts w:hint="eastAsia" w:ascii="仿宋" w:hAnsi="仿宋" w:eastAsia="仿宋"/>
          <w:b w:val="0"/>
          <w:spacing w:val="-4"/>
          <w:sz w:val="32"/>
          <w:szCs w:val="32"/>
        </w:rPr>
      </w:pPr>
      <w:r>
        <w:rPr>
          <w:rStyle w:val="20"/>
          <w:rFonts w:hint="eastAsia" w:ascii="仿宋" w:hAnsi="仿宋" w:eastAsia="仿宋"/>
          <w:b w:val="0"/>
          <w:spacing w:val="-4"/>
          <w:sz w:val="32"/>
          <w:szCs w:val="32"/>
        </w:rPr>
        <w:t>该项目的实施，严格按照政府采购相关规定进行采购。经财政审批后采取协议采购方式，货比三家，严格按照本级财政的相关规定进行支付，用多少拨多少，通过单位基本账户直接将资金拨付到供货商处。</w:t>
      </w:r>
    </w:p>
    <w:p>
      <w:pPr>
        <w:spacing w:line="540" w:lineRule="exact"/>
        <w:ind w:firstLine="624" w:firstLineChars="200"/>
        <w:rPr>
          <w:rStyle w:val="20"/>
          <w:rFonts w:hint="default" w:ascii="仿宋" w:hAnsi="仿宋" w:eastAsia="仿宋"/>
          <w:b w:val="0"/>
          <w:spacing w:val="-4"/>
          <w:sz w:val="32"/>
          <w:szCs w:val="32"/>
          <w:lang w:val="en-US" w:eastAsia="zh-CN"/>
        </w:rPr>
      </w:pPr>
      <w:r>
        <w:rPr>
          <w:rStyle w:val="20"/>
          <w:rFonts w:hint="eastAsia" w:ascii="仿宋" w:hAnsi="仿宋" w:eastAsia="仿宋"/>
          <w:b w:val="0"/>
          <w:spacing w:val="-4"/>
          <w:sz w:val="32"/>
          <w:szCs w:val="32"/>
          <w:lang w:val="en-US" w:eastAsia="zh-CN"/>
        </w:rPr>
        <w:t>本项目不存在调整情况。</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为保证项目质量和成本控制，项目实施完成后，由本项目相关人员于2018年11月15日完成检查验收，检查验收合格后按合同规定支付款项。</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0"/>
          <w:rFonts w:ascii="仿宋" w:hAnsi="仿宋" w:eastAsia="仿宋"/>
          <w:b w:val="0"/>
          <w:bCs w:val="0"/>
          <w:spacing w:val="-4"/>
          <w:sz w:val="32"/>
          <w:szCs w:val="32"/>
        </w:rPr>
      </w:pPr>
      <w:r>
        <w:rPr>
          <w:rFonts w:hint="eastAsia" w:ascii="仿宋" w:hAnsi="仿宋" w:eastAsia="仿宋"/>
          <w:bCs/>
          <w:spacing w:val="-4"/>
          <w:sz w:val="32"/>
          <w:szCs w:val="32"/>
        </w:rPr>
        <w:t>本项目支出符合喀什地区计划生育药具供应管理站相关财务管理制度，资金的拨付有完整的审批程序和手续，</w:t>
      </w:r>
      <w:r>
        <w:rPr>
          <w:rStyle w:val="20"/>
          <w:rFonts w:hint="eastAsia" w:ascii="仿宋" w:hAnsi="仿宋" w:eastAsia="仿宋"/>
          <w:b w:val="0"/>
          <w:spacing w:val="-4"/>
          <w:sz w:val="32"/>
          <w:szCs w:val="32"/>
        </w:rPr>
        <w:t>采取政府采购购买方式，</w:t>
      </w:r>
      <w:r>
        <w:rPr>
          <w:rFonts w:hint="eastAsia" w:ascii="仿宋" w:hAnsi="仿宋" w:eastAsia="仿宋"/>
          <w:bCs/>
          <w:spacing w:val="-4"/>
          <w:sz w:val="32"/>
          <w:szCs w:val="32"/>
        </w:rPr>
        <w:t>不存在截留、挤占、挪用等情况。</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r>
        <w:rPr>
          <w:rStyle w:val="20"/>
          <w:rFonts w:hint="eastAsia" w:ascii="黑体" w:hAnsi="黑体" w:eastAsia="黑体"/>
        </w:rPr>
        <w:t xml:space="preserve"> </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17</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17</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经济性：本项目共计支出5.57万元，其中购买</w:t>
      </w:r>
      <w:r>
        <w:rPr>
          <w:rFonts w:hint="eastAsia" w:ascii="仿宋" w:hAnsi="仿宋" w:eastAsia="仿宋"/>
          <w:bCs/>
          <w:spacing w:val="-4"/>
          <w:sz w:val="32"/>
          <w:szCs w:val="32"/>
        </w:rPr>
        <w:t>台式电脑2台支付1.09万元、购买笔记本电脑1台支付0.45万元，举办县乡业务培训班50人支付0.83万元，印刷药具知识宣传卡片2万份支付金额1.33万元，办公费1批1.90万元。</w:t>
      </w:r>
      <w:r>
        <w:rPr>
          <w:rStyle w:val="20"/>
          <w:rFonts w:hint="eastAsia" w:ascii="仿宋" w:hAnsi="仿宋" w:eastAsia="仿宋"/>
          <w:b w:val="0"/>
          <w:spacing w:val="-4"/>
          <w:sz w:val="32"/>
          <w:szCs w:val="32"/>
        </w:rPr>
        <w:t>本项目30天内完成，采购质量合格率100%，验收通过率100%。</w:t>
      </w:r>
    </w:p>
    <w:p>
      <w:pPr>
        <w:adjustRightInd w:val="0"/>
        <w:snapToGrid w:val="0"/>
        <w:spacing w:line="560" w:lineRule="exact"/>
        <w:ind w:firstLine="624" w:firstLineChars="200"/>
        <w:rPr>
          <w:rFonts w:ascii="仿宋" w:hAnsi="仿宋" w:eastAsia="仿宋"/>
          <w:bCs/>
          <w:spacing w:val="-4"/>
          <w:sz w:val="32"/>
          <w:szCs w:val="32"/>
        </w:rPr>
      </w:pPr>
      <w:r>
        <w:rPr>
          <w:rStyle w:val="20"/>
          <w:rFonts w:hint="eastAsia" w:ascii="仿宋" w:hAnsi="仿宋" w:eastAsia="仿宋"/>
          <w:b w:val="0"/>
          <w:spacing w:val="-4"/>
          <w:sz w:val="32"/>
          <w:szCs w:val="32"/>
        </w:rPr>
        <w:t>效益性：本项目实施后使办公效率有效提升。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2018年本项目绩效目标全部达成，不存在未完成原因分析。由于购买办公费年底未付款，300元未支付。</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Style w:val="20"/>
          <w:rFonts w:hint="eastAsia" w:ascii="仿宋" w:hAnsi="仿宋" w:eastAsia="仿宋"/>
          <w:b w:val="0"/>
          <w:spacing w:val="-4"/>
          <w:sz w:val="32"/>
          <w:szCs w:val="32"/>
        </w:rPr>
        <w:t>本项目为延续性计划，2019年按照计划申请预算6.1万元，计划主要用于购买</w:t>
      </w:r>
      <w:r>
        <w:rPr>
          <w:rFonts w:hint="eastAsia" w:ascii="仿宋" w:hAnsi="仿宋" w:eastAsia="仿宋"/>
          <w:bCs/>
          <w:spacing w:val="-4"/>
          <w:sz w:val="32"/>
          <w:szCs w:val="32"/>
        </w:rPr>
        <w:t>台式电脑2台、笔记本电脑1台、举办县乡业务培训班2次，印刷药具知识宣传卡片2万份，办公费1批。</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2018年完成的项目已入固定资产账目，将严格按照固定资产管理办法进行管理，同时</w:t>
      </w:r>
      <w:r>
        <w:rPr>
          <w:rStyle w:val="20"/>
          <w:rFonts w:hint="eastAsia" w:ascii="仿宋" w:hAnsi="仿宋" w:eastAsia="仿宋"/>
          <w:b w:val="0"/>
          <w:spacing w:val="-4"/>
          <w:sz w:val="32"/>
          <w:szCs w:val="32"/>
        </w:rPr>
        <w:t>使办公效率有效提升。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主要经验及做法：设备购置项目</w:t>
      </w:r>
      <w:r>
        <w:rPr>
          <w:rStyle w:val="20"/>
          <w:rFonts w:hint="eastAsia" w:ascii="仿宋" w:hAnsi="仿宋" w:eastAsia="仿宋"/>
          <w:b w:val="0"/>
          <w:spacing w:val="-4"/>
          <w:sz w:val="32"/>
          <w:szCs w:val="32"/>
        </w:rPr>
        <w:t>实施过程均按照本单位制定的管理制度执行，</w:t>
      </w:r>
      <w:r>
        <w:rPr>
          <w:rFonts w:hint="eastAsia" w:ascii="仿宋" w:hAnsi="仿宋" w:eastAsia="仿宋"/>
          <w:bCs/>
          <w:spacing w:val="-4"/>
          <w:sz w:val="32"/>
          <w:szCs w:val="32"/>
        </w:rPr>
        <w:t>符合喀什地区计划生育药具供应管理站相关财务管理制度，资金的拨付有完整的审批程序和手续，不存在截留、挤占、挪用等情况。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sz w:val="32"/>
          <w:szCs w:val="32"/>
        </w:rPr>
        <w:t>避孕药具业务经费项目</w:t>
      </w:r>
      <w:r>
        <w:rPr>
          <w:rFonts w:hint="eastAsia" w:ascii="仿宋" w:hAnsi="仿宋" w:eastAsia="仿宋"/>
          <w:spacing w:val="-4"/>
          <w:sz w:val="32"/>
          <w:szCs w:val="32"/>
        </w:rPr>
        <w:t>资金的使用效率和效果，项目管理过程规范，完成了预期绩效目标。同时，通过开展自我评价来总结经验和教训，为喀什区计划生育药具供应管理站</w:t>
      </w:r>
      <w:r>
        <w:rPr>
          <w:rFonts w:hint="eastAsia" w:ascii="仿宋" w:hAnsi="仿宋" w:eastAsia="仿宋"/>
          <w:sz w:val="32"/>
          <w:szCs w:val="32"/>
        </w:rPr>
        <w:t>避孕药具业务经费项目</w:t>
      </w:r>
      <w:r>
        <w:rPr>
          <w:rFonts w:hint="eastAsia" w:ascii="仿宋" w:hAnsi="仿宋" w:eastAsia="仿宋"/>
          <w:spacing w:val="-4"/>
          <w:sz w:val="32"/>
          <w:szCs w:val="32"/>
        </w:rPr>
        <w:t>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bookmarkStart w:id="0" w:name="_GoBack"/>
      <w:bookmarkEnd w:id="0"/>
    </w:p>
    <w:p>
      <w:pPr>
        <w:adjustRightInd w:val="0"/>
        <w:snapToGrid w:val="0"/>
        <w:spacing w:line="560" w:lineRule="exact"/>
        <w:ind w:firstLine="624" w:firstLineChars="200"/>
        <w:rPr>
          <w:rStyle w:val="20"/>
          <w:rFonts w:ascii="仿宋" w:hAnsi="仿宋" w:eastAsia="仿宋"/>
          <w:color w:val="FF000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8537B"/>
    <w:rsid w:val="000E40C5"/>
    <w:rsid w:val="000F77FF"/>
    <w:rsid w:val="0011341F"/>
    <w:rsid w:val="00116C4A"/>
    <w:rsid w:val="0012208E"/>
    <w:rsid w:val="00123EAE"/>
    <w:rsid w:val="00135256"/>
    <w:rsid w:val="00157E55"/>
    <w:rsid w:val="001902D6"/>
    <w:rsid w:val="001A4E1F"/>
    <w:rsid w:val="001A57B9"/>
    <w:rsid w:val="001C3847"/>
    <w:rsid w:val="001F3031"/>
    <w:rsid w:val="00204A6F"/>
    <w:rsid w:val="00210A26"/>
    <w:rsid w:val="002A1286"/>
    <w:rsid w:val="002A2532"/>
    <w:rsid w:val="002C3FAA"/>
    <w:rsid w:val="002D0184"/>
    <w:rsid w:val="002E36DC"/>
    <w:rsid w:val="0032084B"/>
    <w:rsid w:val="00354777"/>
    <w:rsid w:val="00361AFC"/>
    <w:rsid w:val="00365250"/>
    <w:rsid w:val="0036624C"/>
    <w:rsid w:val="00385849"/>
    <w:rsid w:val="003E5964"/>
    <w:rsid w:val="003F4A76"/>
    <w:rsid w:val="00435A66"/>
    <w:rsid w:val="004374F0"/>
    <w:rsid w:val="00447A79"/>
    <w:rsid w:val="004975E0"/>
    <w:rsid w:val="004F7600"/>
    <w:rsid w:val="0050167F"/>
    <w:rsid w:val="00514506"/>
    <w:rsid w:val="005162F1"/>
    <w:rsid w:val="00535153"/>
    <w:rsid w:val="005654DA"/>
    <w:rsid w:val="00575CFE"/>
    <w:rsid w:val="00592D09"/>
    <w:rsid w:val="006032A6"/>
    <w:rsid w:val="00605C46"/>
    <w:rsid w:val="00643C74"/>
    <w:rsid w:val="006714E3"/>
    <w:rsid w:val="00675D58"/>
    <w:rsid w:val="006E276E"/>
    <w:rsid w:val="006F2E6D"/>
    <w:rsid w:val="007218B8"/>
    <w:rsid w:val="00722D7A"/>
    <w:rsid w:val="007817B5"/>
    <w:rsid w:val="00785FDE"/>
    <w:rsid w:val="007903D9"/>
    <w:rsid w:val="00796E10"/>
    <w:rsid w:val="007A0351"/>
    <w:rsid w:val="007A14BC"/>
    <w:rsid w:val="007B2BA1"/>
    <w:rsid w:val="007C1025"/>
    <w:rsid w:val="007E6845"/>
    <w:rsid w:val="007F5F8A"/>
    <w:rsid w:val="00826CA1"/>
    <w:rsid w:val="00832F88"/>
    <w:rsid w:val="00835B7F"/>
    <w:rsid w:val="00836DAD"/>
    <w:rsid w:val="00855E3A"/>
    <w:rsid w:val="008B1881"/>
    <w:rsid w:val="008C12E3"/>
    <w:rsid w:val="00921933"/>
    <w:rsid w:val="00922CB9"/>
    <w:rsid w:val="00956DEF"/>
    <w:rsid w:val="00972290"/>
    <w:rsid w:val="009B526F"/>
    <w:rsid w:val="009C1AFD"/>
    <w:rsid w:val="00A22136"/>
    <w:rsid w:val="00A26421"/>
    <w:rsid w:val="00A36967"/>
    <w:rsid w:val="00A4293B"/>
    <w:rsid w:val="00A671F7"/>
    <w:rsid w:val="00A83BD5"/>
    <w:rsid w:val="00AC3054"/>
    <w:rsid w:val="00B06CA5"/>
    <w:rsid w:val="00B41F61"/>
    <w:rsid w:val="00B55332"/>
    <w:rsid w:val="00B72718"/>
    <w:rsid w:val="00B86E8C"/>
    <w:rsid w:val="00BC5373"/>
    <w:rsid w:val="00BC6524"/>
    <w:rsid w:val="00BE1A00"/>
    <w:rsid w:val="00BF72E3"/>
    <w:rsid w:val="00C13BF9"/>
    <w:rsid w:val="00C22CF0"/>
    <w:rsid w:val="00C56C72"/>
    <w:rsid w:val="00C73153"/>
    <w:rsid w:val="00CA6457"/>
    <w:rsid w:val="00CC5CF7"/>
    <w:rsid w:val="00CC6E4D"/>
    <w:rsid w:val="00D17F2E"/>
    <w:rsid w:val="00D40AC3"/>
    <w:rsid w:val="00D46194"/>
    <w:rsid w:val="00DB48D2"/>
    <w:rsid w:val="00DF439E"/>
    <w:rsid w:val="00E01293"/>
    <w:rsid w:val="00E12973"/>
    <w:rsid w:val="00E769FE"/>
    <w:rsid w:val="00EA2CBE"/>
    <w:rsid w:val="00EC2039"/>
    <w:rsid w:val="00F32FEE"/>
    <w:rsid w:val="00F634BC"/>
    <w:rsid w:val="00F97AF2"/>
    <w:rsid w:val="07CD0797"/>
    <w:rsid w:val="098031C5"/>
    <w:rsid w:val="0BAD7D05"/>
    <w:rsid w:val="13C469D8"/>
    <w:rsid w:val="18061FCA"/>
    <w:rsid w:val="19427885"/>
    <w:rsid w:val="33E264F5"/>
    <w:rsid w:val="36E62220"/>
    <w:rsid w:val="3B902FA6"/>
    <w:rsid w:val="41152313"/>
    <w:rsid w:val="417042EC"/>
    <w:rsid w:val="44A27155"/>
    <w:rsid w:val="4B9178F2"/>
    <w:rsid w:val="4E777877"/>
    <w:rsid w:val="4F796F90"/>
    <w:rsid w:val="5096272F"/>
    <w:rsid w:val="536E1E39"/>
    <w:rsid w:val="54291D9A"/>
    <w:rsid w:val="548800C9"/>
    <w:rsid w:val="59536BD5"/>
    <w:rsid w:val="75E24A36"/>
    <w:rsid w:val="769E4ACA"/>
    <w:rsid w:val="76E65C15"/>
    <w:rsid w:val="78B844E0"/>
    <w:rsid w:val="7C494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semiHidden/>
    <w:unhideWhenUsed/>
    <w:qFormat/>
    <w:uiPriority w:val="99"/>
    <w:rPr>
      <w:rFonts w:ascii="宋体"/>
      <w:sz w:val="18"/>
      <w:szCs w:val="18"/>
    </w:rPr>
  </w:style>
  <w:style w:type="paragraph" w:styleId="12">
    <w:name w:val="Balloon Text"/>
    <w:basedOn w:val="1"/>
    <w:link w:val="48"/>
    <w:semiHidden/>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pPr>
      <w:widowControl/>
      <w:spacing w:before="100" w:beforeAutospacing="1" w:after="240"/>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qFormat/>
    <w:uiPriority w:val="9"/>
    <w:rPr>
      <w:b/>
      <w:bCs/>
      <w:sz w:val="28"/>
      <w:szCs w:val="28"/>
    </w:rPr>
  </w:style>
  <w:style w:type="character" w:customStyle="1" w:styleId="26">
    <w:name w:val="标题 5 字符"/>
    <w:basedOn w:val="19"/>
    <w:link w:val="6"/>
    <w:semiHidden/>
    <w:qFormat/>
    <w:uiPriority w:val="9"/>
    <w:rPr>
      <w:b/>
      <w:bCs/>
      <w:i/>
      <w:iCs/>
      <w:sz w:val="26"/>
      <w:szCs w:val="26"/>
    </w:rPr>
  </w:style>
  <w:style w:type="character" w:customStyle="1" w:styleId="27">
    <w:name w:val="标题 6 字符"/>
    <w:basedOn w:val="19"/>
    <w:link w:val="7"/>
    <w:semiHidden/>
    <w:qFormat/>
    <w:uiPriority w:val="9"/>
    <w:rPr>
      <w:b/>
      <w:bCs/>
    </w:rPr>
  </w:style>
  <w:style w:type="character" w:customStyle="1" w:styleId="28">
    <w:name w:val="标题 7 字符"/>
    <w:basedOn w:val="19"/>
    <w:link w:val="8"/>
    <w:semiHidden/>
    <w:qFormat/>
    <w:uiPriority w:val="9"/>
    <w:rPr>
      <w:sz w:val="24"/>
      <w:szCs w:val="24"/>
    </w:rPr>
  </w:style>
  <w:style w:type="character" w:customStyle="1" w:styleId="29">
    <w:name w:val="标题 8 字符"/>
    <w:basedOn w:val="19"/>
    <w:link w:val="9"/>
    <w:semiHidden/>
    <w:qFormat/>
    <w:uiPriority w:val="9"/>
    <w:rPr>
      <w:i/>
      <w:iCs/>
      <w:sz w:val="24"/>
      <w:szCs w:val="24"/>
    </w:rPr>
  </w:style>
  <w:style w:type="character" w:customStyle="1" w:styleId="30">
    <w:name w:val="标题 9 字符"/>
    <w:basedOn w:val="19"/>
    <w:link w:val="10"/>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9"/>
    <w:link w:val="14"/>
    <w:qFormat/>
    <w:uiPriority w:val="99"/>
    <w:rPr>
      <w:rFonts w:ascii="Calibri" w:hAnsi="Calibri" w:eastAsia="宋体"/>
      <w:kern w:val="2"/>
      <w:sz w:val="18"/>
      <w:szCs w:val="18"/>
    </w:rPr>
  </w:style>
  <w:style w:type="character" w:customStyle="1" w:styleId="46">
    <w:name w:val="页脚 字符"/>
    <w:basedOn w:val="19"/>
    <w:link w:val="13"/>
    <w:qFormat/>
    <w:uiPriority w:val="99"/>
    <w:rPr>
      <w:rFonts w:ascii="Calibri" w:hAnsi="Calibri" w:eastAsia="宋体"/>
      <w:kern w:val="2"/>
      <w:sz w:val="18"/>
      <w:szCs w:val="18"/>
    </w:rPr>
  </w:style>
  <w:style w:type="character" w:customStyle="1" w:styleId="47">
    <w:name w:val="文档结构图 字符"/>
    <w:basedOn w:val="19"/>
    <w:link w:val="11"/>
    <w:semiHidden/>
    <w:qFormat/>
    <w:uiPriority w:val="99"/>
    <w:rPr>
      <w:rFonts w:ascii="宋体" w:hAnsi="Times New Roman" w:eastAsia="宋体"/>
      <w:kern w:val="2"/>
      <w:sz w:val="18"/>
      <w:szCs w:val="18"/>
    </w:rPr>
  </w:style>
  <w:style w:type="character" w:customStyle="1" w:styleId="48">
    <w:name w:val="批注框文本 字符"/>
    <w:basedOn w:val="19"/>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BA764C-344A-4E62-B7AE-8791E0096F3F}">
  <ds:schemaRefs/>
</ds:datastoreItem>
</file>

<file path=docProps/app.xml><?xml version="1.0" encoding="utf-8"?>
<Properties xmlns="http://schemas.openxmlformats.org/officeDocument/2006/extended-properties" xmlns:vt="http://schemas.openxmlformats.org/officeDocument/2006/docPropsVTypes">
  <Template>Normal</Template>
  <Pages>5</Pages>
  <Words>286</Words>
  <Characters>1636</Characters>
  <Lines>13</Lines>
  <Paragraphs>3</Paragraphs>
  <TotalTime>117</TotalTime>
  <ScaleCrop>false</ScaleCrop>
  <LinksUpToDate>false</LinksUpToDate>
  <CharactersWithSpaces>1919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Reality</cp:lastModifiedBy>
  <cp:lastPrinted>2018-12-17T10:15:00Z</cp:lastPrinted>
  <dcterms:modified xsi:type="dcterms:W3CDTF">2019-08-20T13:13:10Z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