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2018年度新疆维吾尔自治区喀什地区计划生育药具供应管理站</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主要任务。</w:t>
        <w:br/>
        <w:t xml:space="preserve">    1、负责履行免费供应全地区12县市免费药具发放及乡村药具的计划发放、管理服务职能，对药具的使用情况进行随访；实施免费供应药具的计划调拨、存储、发放、质量检测、统计、财务核算工作。</w:t>
        <w:br/>
        <w:t xml:space="preserve">    2、对下一级药具管理和服务工作进行监督、指导和培训。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新疆维吾尔自治区喀什地区计划生育药具供应管理站</w:t>
      </w:r>
      <w:r>
        <w:rPr>
          <w:rFonts w:ascii="仿宋_GB2312" w:eastAsia="仿宋_GB2312" w:hint="eastAsia"/>
          <w:sz w:val="32"/>
          <w:szCs w:val="32"/>
        </w:rPr>
        <w:t>部门决算包括：</w:t>
      </w:r>
      <w:r>
        <w:rPr>
          <w:rFonts w:ascii="仿宋_GB2312" w:eastAsia="仿宋_GB2312"/>
          <w:sz w:val="32"/>
          <w:szCs w:val="32"/>
        </w:rPr>
        <w:t>新疆维吾尔自治区喀什地区计划生育药具供应管理站</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新疆维吾尔自治区喀什地区计划生育药具供应管理站</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新疆维吾尔自治区喀什地区计划生育药具供应管理站</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61.36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，与上年相比，减少9.08万元，下降12.89%，减少的主要原因是：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主要原因是2018年度部门预算后，2017年11月调出1人，相应费用减少；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60.93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，与上年相比，减少19.31万元，下降24.07%，减少的主要原因是：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主要原因是2018年度部门预算后，2017年11月调出1人，相应费用减少；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6.04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，与上年相比，增加0.43万元，增长7.66%，增加的主要原因是：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主要原因是自治区药具站拨入补助经费有所增加。</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61.36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55.36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90.22%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况：本年收入年初预算数67.53万元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，决算数61.36万元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，预决算差异率-9.14%，差异主要原因是:主要原因是2018年度部门预算后，2017年11月调出1人，相应费用减少。</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60.93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55.36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90.86%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5.57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9.14%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与年初预算数相比情况：本年支出年初预算数73.13万元，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决算数60.93万元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，预决算差异率-16.68%，差异主要原因是:主要原因是2018年度部门预算后，2017年11月调出1人，相应费用减少。</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55.36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，与上年相比，减少5.48万元，下降9.01%，减少的主要原因是：</w:t>
      </w:r>
      <w:r>
        <w:rPr>
          <w:rFonts w:ascii="仿宋_GB2312" w:eastAsia="仿宋_GB2312"/>
          <w:sz w:val="32"/>
          <w:szCs w:val="32"/>
        </w:rPr>
        <w:t/>
      </w:r>
      <w:r>
        <w:rPr>
          <w:rFonts w:ascii="仿宋_GB2312" w:eastAsia="仿宋_GB2312" w:hint="eastAsia"/>
          <w:sz w:val="32"/>
          <w:szCs w:val="32"/>
        </w:rPr>
        <w:t>主要原因是2018年度部门预算后，2017年11月调出1人，相应费用减少。</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55.36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，与上年相比，减少5.48万元，下降9.01%，减少的主要原因是：</w:t>
      </w:r>
      <w:r>
        <w:rPr>
          <w:rFonts w:ascii="仿宋_GB2312" w:eastAsia="仿宋_GB2312"/>
          <w:sz w:val="32"/>
          <w:szCs w:val="32"/>
        </w:rPr>
        <w:t>主要原因是2018年度部门预算后，2017年11月调出1人，相应费用减少。</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55.36</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0</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67.53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55.36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，预决算差异率-18.02%，差异主要原因是:主要原因是2018年度部门预算后，2017年11月调出1人，相应费用减少。</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73.13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55.36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，预决算差异率-24.3%，差异主要原因是:主要原因是2018年度部门预算后，2017年11月调出1人，相应费用减少。</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55.36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，与上年相比，减少5.48万元，下降9.01%，减少的主要原因是：主要原因是2018年度部门预算后，2017年11月调出1人，相应费用减少。</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55.36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，与上年相比，减少5.48万元，下降9.01%，减少的主要原因是：</w:t>
      </w:r>
      <w:r>
        <w:rPr>
          <w:rFonts w:ascii="仿宋_GB2312" w:eastAsia="仿宋_GB2312"/>
          <w:sz w:val="32"/>
          <w:szCs w:val="32"/>
        </w:rPr>
        <w:t/>
      </w:r>
      <w:r>
        <w:rPr>
          <w:rFonts w:ascii="仿宋_GB2312" w:eastAsia="仿宋_GB2312" w:hint="eastAsia"/>
          <w:sz w:val="32"/>
          <w:szCs w:val="32"/>
        </w:rPr>
        <w:t>主要原因是2018年度部门预算后，2017年11月调出1人，相应费用减少。</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医疗卫生与计划生育支出46.89万元,住房保障支出3.32万元,社会保障和就业支出5.15万元。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工资福利支出49.68万元,商品和服务支出3.04万元,对个人和家庭的补助2.65万元。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67.53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55.36</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，预决算差异率-18.02%，差异主要原因是:主要原因是2018年度部门预算后，2017年11月调出1人，相应费用减少。</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73.13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55.36</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，预决算差异率-24.3%，差异主要原因是:主要原因是2018年度部门预算后，2017年11月调出1人，相应费用减少。</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无变化。</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6.04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。与上年相比，增加0.43万元，增长7.66%</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1.27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，与上年相比，增加0.65万元，增长104.84%，增加的主要原因是：</w:t>
      </w:r>
      <w:r>
        <w:rPr>
          <w:rFonts w:ascii="仿宋_GB2312" w:eastAsia="仿宋_GB2312"/>
          <w:sz w:val="32"/>
          <w:szCs w:val="32"/>
        </w:rPr>
        <w:t/>
      </w:r>
      <w:r>
        <w:rPr>
          <w:rFonts w:ascii="仿宋_GB2312" w:eastAsia="仿宋_GB2312" w:hint="eastAsia"/>
          <w:sz w:val="32"/>
          <w:szCs w:val="32"/>
        </w:rPr>
        <w:t>主要原因是下乡调研次数增加。</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1.27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，与上年相比，增加0.67万元，增长111.67%，增加的主要原因是：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主要原因是下乡调研次数增加；</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，与上年相比，减少0.02万元，下降100%，减少的主要原因是：</w:t>
      </w:r>
      <w:r>
        <w:rPr>
          <w:rFonts w:ascii="仿宋_GB2312" w:eastAsia="仿宋_GB2312"/>
          <w:sz w:val="32"/>
          <w:szCs w:val="32"/>
        </w:rPr>
        <w:t/>
      </w:r>
      <w:r>
        <w:rPr>
          <w:rFonts w:ascii="仿宋_GB2312" w:eastAsia="仿宋_GB2312" w:hint="eastAsia"/>
          <w:sz w:val="32"/>
          <w:szCs w:val="32"/>
        </w:rPr>
        <w:t>压减支出。</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新疆维吾尔自治区喀什地区计划生育药具供应管理站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车辆维修</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单位无公务用车</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新疆维吾尔自治区喀什地区计划生育药具供应管理站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万元，决算数1.27万元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，预决算差异率-2.31%，差异主要原因是:费用支出。</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1.27</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，预决算差异率-2.31%，差异主要原因是:费用支出；</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无变化。</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新疆维吾尔自治区喀什地区计划生育药具供应管理站日常公用经费3.04万元，与上年相比，增加0.3万元，增长10.95%，增加的主要原因是：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增加交通费。</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3.91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2.75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1.16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21.71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我单位严格按照预算绩效管理的要求进行管理和实施，认真开展绩效自评工作，但是还需要加强各完善。</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避孕药具业务经费项目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5.57</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99.46%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保障避孕药具及时、安全发放到位。</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根据绩效评价发现的问题进行整改：1、明确项目管理制度；2、加强日常检查监督管理；3、进一步对项目的效率性和效益性进行分析。</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221（类）02（款）01（项）指：住房公积金。210（类）07（款）99（项）指：其他计划生育事务支出。208（类）05（款）05（项）指：机关事业单位基本养老保险缴费支出。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vlt5p/Q9HJ00GQhgpTABXA==" w:hash="KlHNKN2UhT9LYZu06LVQoqbHoe4="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