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2018年度新疆喀什地区结核病防治所部门决算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喀什地区结核病防治所成立于1956年，属差额拨款事业单位。喀什地区结核病防治所为喀什地区卫计委直属的非赢利性专科医疗机构，主要职责是：从事医疗服务，主要是结核病预防与治疗，健康教育等。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新疆喀什地区结核病防治所</w:t>
      </w:r>
      <w:r>
        <w:rPr>
          <w:rFonts w:hint="eastAsia" w:ascii="仿宋_GB2312" w:eastAsia="仿宋_GB2312"/>
          <w:sz w:val="32"/>
          <w:szCs w:val="32"/>
        </w:rPr>
        <w:t>部门决算包括：</w:t>
      </w:r>
      <w:r>
        <w:rPr>
          <w:rFonts w:ascii="仿宋_GB2312" w:eastAsia="仿宋_GB2312"/>
          <w:sz w:val="32"/>
          <w:szCs w:val="32"/>
        </w:rPr>
        <w:t>新疆喀什地区结核病防治所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新疆喀什地区结核病防治所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新疆喀什地区结核病防治所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11,530.86</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，与上年相比，增加2,308.97万元，增长25.04%，增加的主要原因是：</w:t>
      </w:r>
      <w:r>
        <w:rPr>
          <w:rFonts w:hint="eastAsia" w:ascii="仿宋_GB2312" w:eastAsia="仿宋_GB2312"/>
          <w:color w:val="000000" w:themeColor="text1"/>
          <w:sz w:val="32"/>
          <w:szCs w:val="32"/>
        </w:rPr>
        <w:t>新增公立医院改革补助项目资金收入，调整工资和新增人员；</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11,093.41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，与上年相比，增加1,318.13万元，增长13.48%，增加的主要原因是：</w:t>
      </w:r>
      <w:r>
        <w:rPr>
          <w:rFonts w:hint="eastAsia" w:ascii="仿宋_GB2312" w:eastAsia="仿宋_GB2312"/>
          <w:color w:val="000000" w:themeColor="text1"/>
          <w:sz w:val="32"/>
          <w:szCs w:val="32"/>
        </w:rPr>
        <w:t>新增公立医院改革补助项目资金支出，工资福利支出增加和新增人员；</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2018年没有结余结转项目资金。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11,530.86</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2,180.41</w:t>
      </w:r>
      <w:r>
        <w:rPr>
          <w:rFonts w:hint="eastAsia" w:ascii="仿宋_GB2312" w:eastAsia="仿宋_GB2312"/>
          <w:color w:val="000000" w:themeColor="text1"/>
          <w:sz w:val="32"/>
          <w:szCs w:val="32"/>
        </w:rPr>
        <w:t>万元，占</w:t>
      </w:r>
      <w:r>
        <w:rPr>
          <w:rFonts w:hint="eastAsia" w:ascii="仿宋_GB2312" w:eastAsia="仿宋_GB2312"/>
          <w:sz w:val="32"/>
          <w:szCs w:val="32"/>
        </w:rPr>
        <w:t>18.91%</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9,215.89</w:t>
      </w:r>
      <w:r>
        <w:rPr>
          <w:rFonts w:hint="eastAsia" w:ascii="仿宋_GB2312" w:eastAsia="仿宋_GB2312"/>
          <w:color w:val="000000" w:themeColor="text1"/>
          <w:sz w:val="32"/>
          <w:szCs w:val="32"/>
        </w:rPr>
        <w:t>万元，占</w:t>
      </w:r>
      <w:r>
        <w:rPr>
          <w:rFonts w:hint="eastAsia" w:ascii="仿宋_GB2312" w:eastAsia="仿宋_GB2312"/>
          <w:sz w:val="32"/>
          <w:szCs w:val="32"/>
        </w:rPr>
        <w:t>79.92%</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134.56</w:t>
      </w:r>
      <w:r>
        <w:rPr>
          <w:rFonts w:hint="eastAsia" w:ascii="仿宋_GB2312" w:eastAsia="仿宋_GB2312"/>
          <w:color w:val="000000" w:themeColor="text1"/>
          <w:sz w:val="32"/>
          <w:szCs w:val="32"/>
        </w:rPr>
        <w:t>万元，占</w:t>
      </w:r>
      <w:r>
        <w:rPr>
          <w:rFonts w:hint="eastAsia" w:ascii="仿宋_GB2312" w:eastAsia="仿宋_GB2312"/>
          <w:sz w:val="32"/>
          <w:szCs w:val="32"/>
        </w:rPr>
        <w:t>1.17%</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况：本年收入年初预算数7,332.32万元</w:t>
      </w:r>
      <w:r>
        <w:rPr>
          <w:rFonts w:hint="eastAsia" w:ascii="仿宋_GB2312" w:eastAsia="仿宋_GB2312"/>
          <w:sz w:val="32"/>
          <w:szCs w:val="32"/>
        </w:rPr>
        <w:t>，决算数11,530.86万元</w:t>
      </w:r>
      <w:r>
        <w:rPr>
          <w:rFonts w:ascii="仿宋_GB2312" w:eastAsia="仿宋_GB2312"/>
          <w:sz w:val="32"/>
          <w:szCs w:val="32"/>
        </w:rPr>
        <w:t>，预决算差异率57.26%，差异主要原因是:新增公立医院改革补助项目资金收入、调整工资、新增人员和就诊病人多，相对于事业收入（医疗收入）增加、新增专用材料费和聘用人员工资。</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11,093.41</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10,817.77</w:t>
      </w:r>
      <w:r>
        <w:rPr>
          <w:rFonts w:hint="eastAsia" w:ascii="仿宋_GB2312" w:eastAsia="仿宋_GB2312"/>
          <w:color w:val="000000" w:themeColor="text1"/>
          <w:sz w:val="32"/>
          <w:szCs w:val="32"/>
        </w:rPr>
        <w:t>万元，占</w:t>
      </w:r>
      <w:r>
        <w:rPr>
          <w:rFonts w:hint="eastAsia" w:ascii="仿宋_GB2312" w:eastAsia="仿宋_GB2312"/>
          <w:sz w:val="32"/>
          <w:szCs w:val="32"/>
        </w:rPr>
        <w:t>97.52%</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275.64</w:t>
      </w:r>
      <w:r>
        <w:rPr>
          <w:rFonts w:hint="eastAsia" w:ascii="仿宋_GB2312" w:eastAsia="仿宋_GB2312"/>
          <w:color w:val="000000" w:themeColor="text1"/>
          <w:sz w:val="32"/>
          <w:szCs w:val="32"/>
        </w:rPr>
        <w:t>万元，占</w:t>
      </w:r>
      <w:r>
        <w:rPr>
          <w:rFonts w:hint="eastAsia" w:ascii="仿宋_GB2312" w:eastAsia="仿宋_GB2312"/>
          <w:sz w:val="32"/>
          <w:szCs w:val="32"/>
        </w:rPr>
        <w:t>2.48%</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与年初预算数相比情况：本年支出年初预算数7,332.32万元，</w:t>
      </w:r>
      <w:r>
        <w:rPr>
          <w:rFonts w:hint="eastAsia" w:ascii="仿宋_GB2312" w:eastAsia="仿宋_GB2312"/>
          <w:sz w:val="32"/>
          <w:szCs w:val="32"/>
        </w:rPr>
        <w:t>决算数11,093.41万元</w:t>
      </w:r>
      <w:r>
        <w:rPr>
          <w:rFonts w:ascii="仿宋_GB2312" w:eastAsia="仿宋_GB2312"/>
          <w:sz w:val="32"/>
          <w:szCs w:val="32"/>
        </w:rPr>
        <w:t>，预决算差异率51.29%，差异主要原因是:新增项目支出、调整工资、新增人员、就诊病人多，相对于医疗支出增加、新增专用材料费和聘用人员工资支出。</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color w:val="000000" w:themeColor="text1"/>
          <w:sz w:val="32"/>
          <w:szCs w:val="32"/>
          <w:lang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2,180.41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，与上年相比，增加285.29万元，增长15.05%，增加的主要原因是：新增公立医院改革补助项目资金收入，调整工资和新增人员。</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2,180.41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，与上年相比，增加285.29万元，增长15.05%，增加的主要原因是：</w:t>
      </w:r>
      <w:r>
        <w:rPr>
          <w:rFonts w:ascii="仿宋_GB2312" w:eastAsia="仿宋_GB2312"/>
          <w:sz w:val="32"/>
          <w:szCs w:val="32"/>
        </w:rPr>
        <w:t>新增公立医院改革补助项目资金支出，工资福利支出增加和新增人员。</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1,904.77</w:t>
      </w:r>
      <w:r>
        <w:rPr>
          <w:rFonts w:hint="eastAsia" w:ascii="仿宋_GB2312" w:eastAsia="仿宋_GB2312"/>
          <w:color w:val="000000" w:themeColor="text1"/>
          <w:sz w:val="32"/>
          <w:szCs w:val="32"/>
        </w:rPr>
        <w:t>万元，项目支出</w:t>
      </w:r>
      <w:r>
        <w:rPr>
          <w:rFonts w:hint="eastAsia" w:ascii="仿宋_GB2312" w:eastAsia="仿宋_GB2312"/>
          <w:sz w:val="32"/>
          <w:szCs w:val="32"/>
        </w:rPr>
        <w:t>275.64</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bookmarkEnd w:id="29"/>
      <w:r>
        <w:rPr>
          <w:rFonts w:hint="eastAsia" w:ascii="仿宋_GB2312" w:eastAsia="仿宋_GB2312"/>
          <w:sz w:val="32"/>
          <w:szCs w:val="32"/>
          <w:lang w:eastAsia="zh-CN"/>
        </w:rPr>
        <w:t>无变化。</w:t>
      </w:r>
      <w:bookmarkStart w:id="92" w:name="_GoBack"/>
      <w:bookmarkEnd w:id="92"/>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1,872.9</w:t>
      </w:r>
      <w:r>
        <w:rPr>
          <w:rFonts w:hint="eastAsia" w:ascii="仿宋_GB2312" w:eastAsia="仿宋_GB2312"/>
          <w:color w:val="000000" w:themeColor="text1"/>
          <w:sz w:val="32"/>
          <w:szCs w:val="32"/>
        </w:rPr>
        <w:t>万元，决算数</w:t>
      </w:r>
      <w:r>
        <w:rPr>
          <w:rFonts w:hint="eastAsia" w:ascii="仿宋_GB2312" w:eastAsia="仿宋_GB2312"/>
          <w:sz w:val="32"/>
          <w:szCs w:val="32"/>
        </w:rPr>
        <w:t>2,180.41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，预决算差异率16.42%，差异主要原因是:新增公立医院改革补助项目资金收入，调整工资和新增人员。</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1,872.9</w:t>
      </w:r>
      <w:r>
        <w:rPr>
          <w:rFonts w:hint="eastAsia" w:ascii="仿宋_GB2312" w:eastAsia="仿宋_GB2312"/>
          <w:color w:val="000000" w:themeColor="text1"/>
          <w:sz w:val="32"/>
          <w:szCs w:val="32"/>
        </w:rPr>
        <w:t>万元，决算数</w:t>
      </w:r>
      <w:r>
        <w:rPr>
          <w:rFonts w:hint="eastAsia" w:ascii="仿宋_GB2312" w:eastAsia="仿宋_GB2312"/>
          <w:sz w:val="32"/>
          <w:szCs w:val="32"/>
        </w:rPr>
        <w:t>2,180.41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，预决算差异率16.42%，差异主要原因是:新增公立医院改革补助项目资金支出，工资福利支出增加和新增人员。</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2,180.41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，与上年相比，增加285.29万元，增长15.05%，增加的主要原因是：新增公立医院改革补助项目资金收入，调整工资和新增人员。</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2,180.41</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，与上年相比，增加285.29万元，增长15.05%，增加的主要原因是：新增公立医院改革补助项目资金支出，工资福利支出增加和新增人员。</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医疗卫生与计划生育支出1,889.94万元,一般公共服务支出1.24万元,教育支出3.64万元,其他支出9.94万元,社会保障和就业支出275.65万元。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工资福利支出1,800.92万元,商品和服务支出276.57万元,对个人和家庭的补助102.92万元。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1,872.9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2,180.41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，预决算差异率16.42%，差异主要原因是:新增公立医院改革补助项目资金收入，调整工资和新增人员。</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1,872.9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2,180.41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，预决算差异率16.42%，差异主要原因是:新增公立医院改革补助项目资金支出，工资福利支出增加和新增人员。</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新疆喀什地区结核病防治所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无变化。</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无变化</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无变化</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新疆喀什地区结核病防治所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无变化。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新疆喀什地区结核病防治所日常公用经费2.17万元，与上年相比，减少15.14万元，下降87.46%，减少的主要原因是：压缩日常公用经费。</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46.64</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46.5</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0.14</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42.6</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开展防治结核病医疗服务工作用车；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7</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喀什地区结核病防治所在地委、行署的正确领导下，在地区卫生与计划生育委员会及有关部门的大力支持下，做好结核病防治和医疗服务工作，较大提升了结核病防治能力和医疗技术水平，为广大人民群众身体健康提供了安全、有效、方便、价廉的医疗卫生服务，较好的完成了上级组织赋予的任务和工作要求。</w:t>
      </w:r>
    </w:p>
    <w:p>
      <w:pPr>
        <w:spacing w:line="540" w:lineRule="exact"/>
        <w:ind w:left="-1" w:right="-1" w:firstLine="646"/>
        <w:jc w:val="left"/>
      </w:pPr>
      <w:r>
        <w:rPr>
          <w:rFonts w:ascii="仿宋_GB2312" w:hAnsi="仿宋_GB2312" w:eastAsia="仿宋_GB2312" w:cs="仿宋_GB2312"/>
          <w:b w:val="0"/>
          <w:color w:val="auto"/>
          <w:sz w:val="32"/>
          <w:u w:val="none"/>
        </w:rPr>
        <w:t>1、工作经费项目绩效自评综述：根据年初设定的绩效目标，该项目绩效自评得分为89.3分。项目全年预算数为5万元，执行数为4万元，完成预算的80%。主要产出和效果：1.结防所帮扶1个村，共帮扶741名农民。2.帮扶农村农民补助和商品足额发放率和帮扶农村农民补助和商品足额发放率100%。3.工作经费3.995万元。4.有效改善帮扶村农民基本生活困难。5.帮扶农村农民对医院工作的满意度100%。发现的问题及原因：不存在问题。下一步改进措施： 有效改善帮扶村农民基本生活困难。</w:t>
      </w:r>
    </w:p>
    <w:p>
      <w:pPr>
        <w:spacing w:line="540" w:lineRule="exact"/>
        <w:ind w:left="-1" w:right="-1" w:firstLine="646"/>
        <w:jc w:val="left"/>
      </w:pPr>
      <w:r>
        <w:rPr>
          <w:rFonts w:ascii="仿宋_GB2312" w:hAnsi="仿宋_GB2312" w:eastAsia="仿宋_GB2312" w:cs="仿宋_GB2312"/>
          <w:b w:val="0"/>
          <w:color w:val="auto"/>
          <w:sz w:val="32"/>
          <w:u w:val="none"/>
        </w:rPr>
        <w:t>2、援疆干部南疆工作补贴项目绩效自评综述：根据年初设定的绩效目标，该项目绩效自评得分为88.3分。项目全年预算数为1.24万元，执行数为1.24万元，完成预算的100%。主要产出和效果：1.援疆干部南疆工作补助人数1人。2.援疆干部南疆工作补贴足额发放率100%。3.援疆干部南疆工作补贴及时发放率100%。4.援疆干部每名南疆工作补贴1.244万元/人。5.减轻援疆干部的经济负担，激发援疆干部工作创业热情和正能量。6.援疆干部的满意度100%。发现的问题及原因：不存在问题。下一步改进措施： 减轻援疆干部的经济负担，激发援疆干部工作创业热情和正能量。</w:t>
      </w:r>
    </w:p>
    <w:p>
      <w:pPr>
        <w:spacing w:line="540" w:lineRule="exact"/>
        <w:ind w:left="-1" w:right="-1" w:firstLine="646"/>
        <w:jc w:val="left"/>
      </w:pPr>
      <w:r>
        <w:rPr>
          <w:rFonts w:ascii="仿宋_GB2312" w:hAnsi="仿宋_GB2312" w:eastAsia="仿宋_GB2312" w:cs="仿宋_GB2312"/>
          <w:b w:val="0"/>
          <w:color w:val="auto"/>
          <w:sz w:val="32"/>
          <w:u w:val="none"/>
        </w:rPr>
        <w:t>3、公立医院改革补助项目绩效自评综述：根据年初设定的绩效目标，该项目绩效自评得分为94.7分。项目全年预算数为270.4万元，执行数为270.4万元，完成预算的100%。主要产出和效果：1.药品占比34.63%。2.药品耗材验收合格率和药品和耗材到位及时率100%。3.补助资金270.4万元。4.医疗收入增长率9%。5.有效逐步改善本地区医疗服务水平。6.持续保障医院正常运转。7.就诊患者对医疗服务满意度93%。发现的问题及原因：不存在问题。下一步改进措施： 逐步改善提高本地区防治结核病医疗服务水平。</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02（款）99（项）指：其他公立医院支出。201（类）32（款）99（项）指：其他组织事务支出。205（类）02（款）01（项）指：学前教育。210（类）02（款）08（项）指：其他专科医院。229（类）99（款）01（项）指：其他支出。208（类）05（款）06（项）指：机关事业单位职业年金缴费支出。210（类）04（款）09（项）指：重大公共卫生专项。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Mrp8uzXKfs3MFUL7zQFNWuU1H4M=" w:salt="yxMfrrqvMtmTPn34EAFZV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2B1180C"/>
    <w:rsid w:val="03AA79F6"/>
    <w:rsid w:val="04741FE5"/>
    <w:rsid w:val="04DB02C7"/>
    <w:rsid w:val="06B856EE"/>
    <w:rsid w:val="07FE5938"/>
    <w:rsid w:val="084604BC"/>
    <w:rsid w:val="08883825"/>
    <w:rsid w:val="09725983"/>
    <w:rsid w:val="0A382BB5"/>
    <w:rsid w:val="0AA4543A"/>
    <w:rsid w:val="0BCD3E31"/>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285</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2021-07-01T08:35:01Z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