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新疆喀什地区园艺蚕桑特产技术推广中心2019年度部门决算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bookmarkStart w:id="54" w:name="_GoBack"/>
      <w:bookmarkEnd w:id="54"/>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新疆喀什地区园艺蚕桑特产技术推广中，主要负责。      1、地区设施农业发展规划的制定与实施。2、组织实施菜篮子工程计划。3、负责特色园艺产业公关开发实施示范及高新园艺实用技术的推广。</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新疆喀什地区园艺蚕桑特产技术推广中心2019年度，实有人数41人，其中：在职人员20人，离休人员0人，退休人员21人。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从部门决算单位构成看，新疆喀什地区园艺蚕桑特产技术推广中心部门决算包括：新疆喀什地区园艺蚕桑特产技术推广中心决算。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357.63万元，与上年相比，增加0.46万元，增长0.13%，主要原因是：人员工资晋升，养老保险及社会其他保障缴费、住房公积金等增加。本年支出357.63万元，与上年相比，增加0.46万元，增长0.13%，主要原因是：人员工资晋升，养老保险及社会其他保障缴费、住房公积金等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2019年度本年收入357.63万元，其中：财政拨款收入357.63万元，占100%；上级补助收入0万元，占0%；事业收入0万元，占0%；经营收入0万元，占0%；附属单位上缴收入0万元，占0%；其他收入0万元，占0%。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2019年度本年支出357.63万元，其中：基本支出357.63万元，占100%；项目支出0万元，占0%；上缴上级支出0万元，占0%；经营支出0万元，占0%；对附属单位补助支出0万元，占0%。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357.63万元，与上年相比，增加0.46万元，增长0.13%，主要原因是：人员工资晋升，养老保险及社会其他保障缴费、住房公积金等增加。财政拨款支出357.63万元，与上年相比，增加0.46万元，增长0.13%，主要原因是：人员工资晋升，养老保险及社会其他保障缴费、住房公积金等增加。</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与年初预算数相比情况：财政拨款收入年初预算数382.16万元，决算数357.63万元，预决算差异率-6.42%，主要原因是：1、财政预算安排2019年“</w:t>
      </w:r>
      <w:r>
        <w:rPr>
          <w:rFonts w:hint="eastAsia" w:ascii="仿宋_GB2312" w:hAnsi="仿宋_GB2312" w:eastAsia="仿宋_GB2312" w:cs="仿宋_GB2312"/>
          <w:sz w:val="32"/>
          <w:lang w:eastAsia="zh-CN"/>
        </w:rPr>
        <w:t>活动</w:t>
      </w:r>
      <w:r>
        <w:rPr>
          <w:rFonts w:ascii="仿宋_GB2312" w:hAnsi="仿宋_GB2312" w:eastAsia="仿宋_GB2312" w:cs="仿宋_GB2312"/>
          <w:sz w:val="32"/>
        </w:rPr>
        <w:t>办公经费及补助经费，因未涉改原因，未开展此项目，所以此项预算未执行；2、财政预算安排的办公取暖费，因为涉改原因，单位集中供暖，所以取暖费未支出。财政拨款支出年初预算数382.16万元，决算数357.63万元，预决算差异率-6.42%，主要原因是：1、财政预算安排2019年“</w:t>
      </w:r>
      <w:r>
        <w:rPr>
          <w:rFonts w:hint="eastAsia" w:ascii="仿宋_GB2312" w:hAnsi="仿宋_GB2312" w:eastAsia="仿宋_GB2312" w:cs="仿宋_GB2312"/>
          <w:sz w:val="32"/>
          <w:lang w:eastAsia="zh-CN"/>
        </w:rPr>
        <w:t>活动</w:t>
      </w:r>
      <w:r>
        <w:rPr>
          <w:rFonts w:ascii="仿宋_GB2312" w:hAnsi="仿宋_GB2312" w:eastAsia="仿宋_GB2312" w:cs="仿宋_GB2312"/>
          <w:sz w:val="32"/>
        </w:rPr>
        <w:t>办公经费及补助经费，因未涉改原因，未开展此项目，所以此项预算未执行；2、财政预算安排的办公取暖费，因为涉改原因，单位集中供暖，所以取暖费未支出。</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2019年度一般公共预算财政拨款支出357.63万元。按功能分类科目项级科目公开，其中：</w:t>
      </w:r>
    </w:p>
    <w:p>
      <w:pPr>
        <w:ind w:firstLine="480"/>
      </w:pPr>
      <w:r>
        <w:rPr>
          <w:rFonts w:ascii="仿宋_GB2312" w:hAnsi="仿宋_GB2312" w:eastAsia="仿宋_GB2312" w:cs="仿宋_GB2312"/>
          <w:sz w:val="32"/>
        </w:rPr>
        <w:t xml:space="preserve">   2210201住房公积金支出22.16万元。</w:t>
      </w:r>
    </w:p>
    <w:p>
      <w:pPr>
        <w:ind w:firstLine="480"/>
      </w:pPr>
      <w:r>
        <w:rPr>
          <w:rFonts w:ascii="仿宋_GB2312" w:hAnsi="仿宋_GB2312" w:eastAsia="仿宋_GB2312" w:cs="仿宋_GB2312"/>
          <w:sz w:val="32"/>
        </w:rPr>
        <w:t xml:space="preserve">   2130104事业运行支出294.58万元；</w:t>
      </w:r>
    </w:p>
    <w:p>
      <w:pPr>
        <w:ind w:firstLine="480"/>
      </w:pPr>
      <w:r>
        <w:rPr>
          <w:rFonts w:ascii="仿宋_GB2312" w:hAnsi="仿宋_GB2312" w:eastAsia="仿宋_GB2312" w:cs="仿宋_GB2312"/>
          <w:sz w:val="32"/>
        </w:rPr>
        <w:t xml:space="preserve">   2080506机关事业单位职业年金缴费支出9.51万元；</w:t>
      </w:r>
    </w:p>
    <w:p>
      <w:pPr>
        <w:ind w:firstLine="480"/>
      </w:pPr>
      <w:r>
        <w:rPr>
          <w:rFonts w:ascii="仿宋_GB2312" w:hAnsi="仿宋_GB2312" w:eastAsia="仿宋_GB2312" w:cs="仿宋_GB2312"/>
          <w:sz w:val="32"/>
        </w:rPr>
        <w:t xml:space="preserve">   2080505机关事业单位基本养老保险缴费支出31.38万元；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2019年度一般公共预算财政拨款基本支出357.63万元，其中：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346.56万元，包括：基本工资、津贴补贴、奖金、绩效工资、机关事业单位基本养老保险缴费、职业年金缴费、职工基本医疗保险缴费、公务员医疗补助缴费、其他社会保障缴费、住房公积金、退休费、抚恤金、生活补助、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公用经费11.07万元，包括：办公费、电费、邮电费、劳务费、公务用车运行维护费、其他交通费用、其他商品和服务支出。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2.40万元，比上年增加0万元，增长0%，主要原因是与上年相比无变动，与上年一致。其中，因公出国（境）费支出0万元，占0%，比上年增加0万元，增长0%，主要原因是与上年相比无变动，与上年一致；公务用车购置及运行维护费支出2.40万元，占100%，比上年增加0万元，增长0%，主要原因是与上年相比无变动，与上年一致；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2.40万元，其中，公务用车购置费0万元，公务用车运行维护费2.40万元。公务用车运行维护费开支内容包括汽车加油费、汽车维修费、车辆保险、过路费。公务用车购置数0辆，公务用车保有量5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2.40万元，决算数2.40万元，预决算差异率0%，主要原因是：严格按照预算安排执行，无差异。其中：因公出国（境）费预算数0万元，决算数0万元，预决算差异率0%，主要原因是：预算未安排，无此项支出；公务用车购置费预算数0万元，决算数0万元，预决算差异率0%，主要原因是：预算未安排，无此项支出；公务用车运行费预算数2.40万元，决算数2.40万元，预决算差异率0%，主要原因是：严格按照预算安排执行，无差异；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新疆喀什地区园艺蚕桑特产技术推广中心日常公用经费11.07万元，比上年增加3.18万元，增长40.3%，主要原因是新增固定资产条码机；民族团结关爱资金的增加。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2019年度政府采购支出总额1.36万元，其中：政府采购货物支出0.98万元、政府采购工程支出0万元、政府采购服务支出0.38万元。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授予中小企业合同金额1.36万元，占政府采购支出总额的100%，其中：授予小微企业合同金额1.36万元，占政府采购支出总额的100%。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620.96（平方米），价值18.38万元。车辆5辆，价值81.09万元，其中：副部（省）级及以上领导用车0辆、主要领导干部用车0辆、机要通信用车0辆、应急保障用车0辆、执法执勤用车0辆、特种专业技术用车0辆、离退休干部用车0辆、其他用车5辆，其他用车主要是：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1个，共涉及资金2.4万元。预算绩效管理取得的成效：该项目通过蔬菜基地生产指导服务、企业冬菜收储组织监督、冬储菜直销监管及企业保鲜费核发等工作。发挥政府职能作用，促进蔬菜产销。根据冬菜直销量给保鲜企业补助储藏保鲜费。冬储菜直储直销，达到便民利民的目的，主动发挥蔬菜直销车辆作用，有效解决“卖难”和“买贵”问题，确保脱贫攻坚目标全面实现。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二是项目评价资料有待进一步完善。项目启动时同步做好档案的归纳与整理，及时整理、收集、汇总，健全档案资料。三是通过绩效管理，发现实施中存在漏洞。四是评价工作应从项目实施方案源头抓起，评价工作和意识应贯穿项目整个过程。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K0YCuYX5Vx2PTBG+9v86hMtjX0U=" w:salt="HnblObq4+WJZ2XJST10CsQ=="/>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113A"/>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830D6"/>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95D4C"/>
    <w:rsid w:val="00FB3828"/>
    <w:rsid w:val="00FC7A52"/>
    <w:rsid w:val="00FE0761"/>
    <w:rsid w:val="00FF5166"/>
    <w:rsid w:val="04D1567E"/>
    <w:rsid w:val="06792773"/>
    <w:rsid w:val="18A03D50"/>
    <w:rsid w:val="1DAF458D"/>
    <w:rsid w:val="26A579EA"/>
    <w:rsid w:val="2A053397"/>
    <w:rsid w:val="2D1136DF"/>
    <w:rsid w:val="31C63837"/>
    <w:rsid w:val="3D5275AC"/>
    <w:rsid w:val="3D5929FB"/>
    <w:rsid w:val="46901EEE"/>
    <w:rsid w:val="469C74D2"/>
    <w:rsid w:val="50DB5F45"/>
    <w:rsid w:val="65432DE3"/>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870</Words>
  <Characters>4960</Characters>
  <Lines>41</Lines>
  <Paragraphs>11</Paragraphs>
  <TotalTime>10</TotalTime>
  <ScaleCrop>false</ScaleCrop>
  <LinksUpToDate>false</LinksUpToDate>
  <CharactersWithSpaces>5819</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2021-05-21T11:10:48Z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