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新疆喀什地区农业技术推广中心2019年度部门决算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4B3D26">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4B3D26">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4B3D26">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4B3D26">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4B3D26">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4B3D26">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4B3D26">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4B3D26">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4B3D26">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Ansi="仿宋_GB2312" w:cs="仿宋_GB2312"/>
          <w:sz w:val="32"/>
        </w:rPr>
        <w:t xml:space="preserve">    1、负责全地区高新农业实用技术的推广、攻关、实验、示范工作。2、负责高新农业技术规程的编制工作。</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新疆喀什地区农业技术推广中心2019年度，实有人数114人，其中：在职人员42人，离休人员0人，退休人员72人。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从部门决算单位构成看，新疆喀什地区农业技术推广中心部门决算包括：新疆喀什地区农业技术推广中心决算。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1,009.89万元，与上年相比，减少320.43万元，下降24.09%，主要原因是：2019年自治区安排喀什地区耕地保护与质量提升专项资金金额减少。本年支出1,009.89万元，与上年相比，减少320.43万元，下降24.09%，主要原因是：2019年自治区安排喀什地区耕地保护与质量提升专项资金金额减少。</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2019年度本年收入1,009.89万元，其中：财政拨款收入988.09万元，占97.84%；上级补助收入0万元，占0%；事业收入0万元，占0%；经营收入0万元，占0%；附属</w:t>
      </w:r>
      <w:r>
        <w:rPr>
          <w:rFonts w:ascii="仿宋_GB2312" w:eastAsia="仿宋_GB2312" w:hAnsi="仿宋_GB2312" w:cs="仿宋_GB2312"/>
          <w:sz w:val="32"/>
        </w:rPr>
        <w:lastRenderedPageBreak/>
        <w:t>单位上缴收入0万元，占0%；其他收入21.80万元，占2.16%。</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2019年度本年支出1,009.89万元，其中：基本支出873.13万元，占86.46%；项目支出136.76万元，占13.54%；上缴上级支出0万元，占0%；经营支出0万元，占0%；对附属单位补助支出0万元，占0%。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988.09万元，与上年相比，减少323.23万元，下降24.65%，主要原因是：2019年自治区安排喀什地区耕地保护与质量提升专项资金金额减少。财政拨款支出988.09万元，与上年相比，减少323.23万元，下降24.65%，主要原因是：2019年自治区安排喀什地区耕地保护与质量提升专项资金金额减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905.10万元，决算数988.09万元，预决算差异率9.17%，主要原因是：工资正常晋升、调标增资部分增加；2019年喀什地区耕地保护与质量提升项目资金安排增加。财政拨款支出年初预算数950.90万元，决算数988.09万元，预决算差异率3.91%，主要原因是：2019年工资正常晋升、调标增资部分增加。</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2019年度一般公共预算财政拨款支出988.09万元。按</w:t>
      </w:r>
      <w:r>
        <w:rPr>
          <w:rFonts w:ascii="仿宋_GB2312" w:eastAsia="仿宋_GB2312" w:hAnsi="仿宋_GB2312" w:cs="仿宋_GB2312"/>
          <w:sz w:val="32"/>
        </w:rPr>
        <w:lastRenderedPageBreak/>
        <w:t>功能分类科目项级科目公开，其中：</w:t>
      </w:r>
    </w:p>
    <w:p w:rsidR="007A7CF7" w:rsidRDefault="00B54E0C">
      <w:pPr>
        <w:ind w:firstLine="480"/>
      </w:pPr>
      <w:r>
        <w:rPr>
          <w:rFonts w:ascii="仿宋_GB2312" w:eastAsia="仿宋_GB2312" w:hAnsi="仿宋_GB2312" w:cs="仿宋_GB2312"/>
          <w:sz w:val="32"/>
        </w:rPr>
        <w:t xml:space="preserve">   2299901其他支出28万元。</w:t>
      </w:r>
    </w:p>
    <w:p w:rsidR="007A7CF7" w:rsidRDefault="00B54E0C">
      <w:pPr>
        <w:ind w:firstLine="480"/>
      </w:pPr>
      <w:r>
        <w:rPr>
          <w:rFonts w:ascii="仿宋_GB2312" w:eastAsia="仿宋_GB2312" w:hAnsi="仿宋_GB2312" w:cs="仿宋_GB2312"/>
          <w:sz w:val="32"/>
        </w:rPr>
        <w:t xml:space="preserve">   2210201住房公积金支出52.62万元；</w:t>
      </w:r>
    </w:p>
    <w:p w:rsidR="007A7CF7" w:rsidRDefault="00B54E0C">
      <w:pPr>
        <w:ind w:firstLine="480"/>
      </w:pPr>
      <w:r>
        <w:rPr>
          <w:rFonts w:ascii="仿宋_GB2312" w:eastAsia="仿宋_GB2312" w:hAnsi="仿宋_GB2312" w:cs="仿宋_GB2312"/>
          <w:sz w:val="32"/>
        </w:rPr>
        <w:t xml:space="preserve">   2130135农业资源保护修复与利用支出108.76万元；</w:t>
      </w:r>
    </w:p>
    <w:p w:rsidR="007A7CF7" w:rsidRDefault="00B54E0C">
      <w:pPr>
        <w:ind w:firstLine="480"/>
      </w:pPr>
      <w:r>
        <w:rPr>
          <w:rFonts w:ascii="仿宋_GB2312" w:eastAsia="仿宋_GB2312" w:hAnsi="仿宋_GB2312" w:cs="仿宋_GB2312"/>
          <w:sz w:val="32"/>
        </w:rPr>
        <w:t xml:space="preserve">   2130106科技转化与推广服务支出715.41万元；</w:t>
      </w:r>
    </w:p>
    <w:p w:rsidR="007A7CF7" w:rsidRDefault="00B54E0C">
      <w:pPr>
        <w:ind w:firstLine="480"/>
      </w:pPr>
      <w:r>
        <w:rPr>
          <w:rFonts w:ascii="仿宋_GB2312" w:eastAsia="仿宋_GB2312" w:hAnsi="仿宋_GB2312" w:cs="仿宋_GB2312"/>
          <w:sz w:val="32"/>
        </w:rPr>
        <w:t xml:space="preserve">   2080506机关事业单位职业年金缴费支出13.10万元；</w:t>
      </w:r>
    </w:p>
    <w:p w:rsidR="007A7CF7" w:rsidRDefault="00B54E0C">
      <w:pPr>
        <w:ind w:firstLine="480"/>
      </w:pPr>
      <w:r>
        <w:rPr>
          <w:rFonts w:ascii="仿宋_GB2312" w:eastAsia="仿宋_GB2312" w:hAnsi="仿宋_GB2312" w:cs="仿宋_GB2312"/>
          <w:sz w:val="32"/>
        </w:rPr>
        <w:t xml:space="preserve">   2080505机关事业单位基本养老保险缴费支出70.19万元；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2019年度一般公共预算财政拨款基本支出851.33万元，其中：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826.04万元，包括：基本工资、津贴补贴、奖金、绩效工资、机关事业单位基本养老保险缴费、职业年金缴费、职工基本医疗保险缴费、公务员医疗补助缴费、其他社会保障缴费、住房公积金、退休费、抚恤金、生活补助、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公用经费25.29万元，包括：办公费、手续费、邮电费、取暖费、差旅费、维修（护）费、劳务费、委托业务费、公务用车运行维护费、其他交通费用、其他商品和服务支出</w:t>
      </w:r>
      <w:r w:rsidR="00BE0768">
        <w:rPr>
          <w:rFonts w:ascii="仿宋_GB2312" w:eastAsia="仿宋_GB2312" w:hAnsi="仿宋_GB2312" w:cs="仿宋_GB2312" w:hint="eastAsia"/>
          <w:sz w:val="32"/>
        </w:rPr>
        <w:t>、办公设备购置</w:t>
      </w:r>
      <w:r>
        <w:rPr>
          <w:rFonts w:ascii="仿宋_GB2312" w:eastAsia="仿宋_GB2312" w:hAnsi="仿宋_GB2312" w:cs="仿宋_GB2312"/>
          <w:sz w:val="32"/>
        </w:rPr>
        <w:t>。</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w:t>
      </w:r>
      <w:r>
        <w:rPr>
          <w:rFonts w:ascii="黑体" w:eastAsia="黑体" w:hAnsi="黑体" w:cs="宋体" w:hint="eastAsia"/>
          <w:bCs/>
          <w:kern w:val="0"/>
          <w:sz w:val="32"/>
          <w:szCs w:val="32"/>
        </w:rPr>
        <w:lastRenderedPageBreak/>
        <w:t>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5.70万元，比上年减少0.30万元，降低5%，主要原因是严格控制车辆使用。其中，因公出国（境）费支出0万元，占0%，比上年增加0万元，增长0%，主要原因是与上年相比无变化，与上年一致；公务用车购置及运行维护费支出5.70万元，占100%，比上年减少0.30万元，降低5%，主要原因是严格控制车辆使用；公务接待费支出0万元，占0%，比上年增加0万元，增长0%，主要原因是与上年相比无变化，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5.70万元，其中，公务用车购置费0万元，公务用车运行维护费5.70万元。公务用车运行维护费开支内容包括汽车油料、维修费、过路费、保险费。公务用车购置数0辆，公务用车保有量6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与年初预算数相比情况：一般公共预算“三公”经费支出年初预算数6万元，决算数5.70万元，预决算差异率-5%，主要原因是：严格控制车辆使用。其中：因公出国（境）费</w:t>
      </w:r>
      <w:r>
        <w:rPr>
          <w:rFonts w:ascii="仿宋_GB2312" w:eastAsia="仿宋_GB2312" w:hAnsi="仿宋_GB2312" w:cs="仿宋_GB2312"/>
          <w:sz w:val="32"/>
        </w:rPr>
        <w:lastRenderedPageBreak/>
        <w:t>预算数0万元，决算数0万元，预决算差异率0%，主要原因是：预算未安排，无此项支出；公务用车购置费预算数0万元，决算数0万元，预决算差异率0%，主要原因是：预算未安排，无此项支出；公务用车运行费预算数6万元，决算数5.70万元，预决算差异率-5%，主要原因是：严格控制车辆使用；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新疆喀什地区农业技术推广中心日常公用经费25.29万元，比上年增加1.54万元，增长6.48%，主要原因是添置办公设备：条码机。</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2019年度政府采购支出总额22.73万元，其中：政府采购货物支出0.98万元、政府采购工程支出0万元、政府采购服务支出21.75万元。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授予中小企业合同金额0.98万元，占政府采购支出总额的4.31%，其中：授予小微企业合同金额0.98万元，占政府采购支出总额的4.31%。</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lastRenderedPageBreak/>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18,340.15（平方米），价值547.19万元。车辆6辆，价值99.88万元，其中：副部（省）级及以上领导用车0辆、主要领导干部用车0辆、机要通信用车0辆、应急保障用车0辆、执法执勤用车0辆、特种专业技术用车0辆、离退休干部用车0辆、其他用车6辆，其他用车主要是：一般公务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7个，共涉及资金136.76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无变化。二是效率性评价：各项工作计划按预期计划按时完成，效益按预期时间产生。三是效益性评价：预期的经济效益、社会效益、可持续的影响已产生，相关人员的满意度达到90%。发现的问题及原因：通过预算绩效管理，发现了工作中存在的不足，如前期资金使用因工作队所在乡村，开具发票困难，有时找经办人拖延了时间，开支经费未按期支付，导致了资金滞缓，影响了项</w:t>
      </w:r>
      <w:r>
        <w:rPr>
          <w:rFonts w:ascii="仿宋_GB2312" w:eastAsia="仿宋_GB2312" w:hAnsi="仿宋_GB2312" w:cs="仿宋_GB2312"/>
          <w:sz w:val="32"/>
        </w:rPr>
        <w:lastRenderedPageBreak/>
        <w:t>目的进度。下一步改进措施：年初做好资金计划，按照项目进度及时拨付资金，使资金使用效益最大化，减少不必要的浪费，节约成本。督促有关人员及时开具项目发票，保证项目经费按期支付，加快资金支付，避免影响项目进度。向单位主要领导汇报并建议设立专门机构和人员，专门负责绩效管理和监控工作，并根据单位资金情况，做好年度绩效跟踪监控工作，确保单位的各项资金按预算按进度有效安全使用，发挥财政资金的最大效益。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w:t>
      </w:r>
      <w:r>
        <w:rPr>
          <w:rFonts w:ascii="仿宋_GB2312" w:eastAsia="仿宋_GB2312" w:hint="eastAsia"/>
          <w:sz w:val="32"/>
          <w:szCs w:val="32"/>
        </w:rPr>
        <w:lastRenderedPageBreak/>
        <w:t>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w:t>
      </w:r>
      <w:r>
        <w:rPr>
          <w:rFonts w:ascii="仿宋_GB2312" w:eastAsia="仿宋_GB2312" w:hint="eastAsia"/>
          <w:sz w:val="32"/>
          <w:szCs w:val="32"/>
        </w:rPr>
        <w:lastRenderedPageBreak/>
        <w:t>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7A7CF7">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380" w:rsidRDefault="00223380">
      <w:r>
        <w:separator/>
      </w:r>
    </w:p>
  </w:endnote>
  <w:endnote w:type="continuationSeparator" w:id="0">
    <w:p w:rsidR="00223380" w:rsidRDefault="0022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fixed"/>
    <w:sig w:usb0="00000001"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4B3D26">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4B3D26">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225DD4">
                  <w:rPr>
                    <w:noProof/>
                  </w:rPr>
                  <w:t>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380" w:rsidRDefault="00223380">
      <w:r>
        <w:separator/>
      </w:r>
    </w:p>
  </w:footnote>
  <w:footnote w:type="continuationSeparator" w:id="0">
    <w:p w:rsidR="00223380" w:rsidRDefault="0022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ocumentProtection w:edit="comments" w:enforcement="1" w:cryptProviderType="rsaFull" w:cryptAlgorithmClass="hash" w:cryptAlgorithmType="typeAny" w:cryptAlgorithmSid="4" w:cryptSpinCount="100000" w:hash="ebuRYrVe4/3VOUS+5kgA/7M3CTY=" w:salt="EAS8M1nSK3u33V+LAzVC0w=="/>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D71BF"/>
    <w:rsid w:val="001E4D79"/>
    <w:rsid w:val="001F29A9"/>
    <w:rsid w:val="001F777A"/>
    <w:rsid w:val="002122DE"/>
    <w:rsid w:val="00223380"/>
    <w:rsid w:val="00225DD4"/>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90472"/>
    <w:rsid w:val="004A41CF"/>
    <w:rsid w:val="004A44C9"/>
    <w:rsid w:val="004B2E7F"/>
    <w:rsid w:val="004B3B3F"/>
    <w:rsid w:val="004B3D26"/>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A7CF7"/>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243"/>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54E0C"/>
    <w:rsid w:val="00B64D13"/>
    <w:rsid w:val="00B76725"/>
    <w:rsid w:val="00BC38D2"/>
    <w:rsid w:val="00BC65E4"/>
    <w:rsid w:val="00BE0768"/>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374AE"/>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7CF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7A7CF7"/>
    <w:pPr>
      <w:ind w:leftChars="200" w:left="420"/>
    </w:pPr>
  </w:style>
  <w:style w:type="paragraph" w:styleId="1">
    <w:name w:val="toc 1"/>
    <w:basedOn w:val="a"/>
    <w:next w:val="a"/>
    <w:rsid w:val="007A7CF7"/>
  </w:style>
  <w:style w:type="paragraph" w:styleId="a3">
    <w:name w:val="header"/>
    <w:basedOn w:val="a"/>
    <w:rsid w:val="007A7CF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7A7CF7"/>
    <w:pPr>
      <w:ind w:leftChars="400" w:left="840"/>
    </w:pPr>
  </w:style>
  <w:style w:type="paragraph" w:styleId="a4">
    <w:name w:val="footer"/>
    <w:basedOn w:val="a"/>
    <w:rsid w:val="007A7CF7"/>
    <w:pPr>
      <w:tabs>
        <w:tab w:val="center" w:pos="4153"/>
        <w:tab w:val="right" w:pos="8306"/>
      </w:tabs>
      <w:snapToGrid w:val="0"/>
      <w:jc w:val="left"/>
    </w:pPr>
    <w:rPr>
      <w:sz w:val="18"/>
    </w:rPr>
  </w:style>
  <w:style w:type="paragraph" w:styleId="a5">
    <w:name w:val="annotation text"/>
    <w:basedOn w:val="a"/>
    <w:rsid w:val="007A7CF7"/>
    <w:pPr>
      <w:jc w:val="left"/>
    </w:pPr>
  </w:style>
  <w:style w:type="paragraph" w:customStyle="1" w:styleId="WPSOffice3">
    <w:name w:val="WPSOffice手动目录 3"/>
    <w:rsid w:val="007A7CF7"/>
    <w:pPr>
      <w:ind w:leftChars="400" w:left="400"/>
    </w:pPr>
  </w:style>
  <w:style w:type="paragraph" w:customStyle="1" w:styleId="WPSOffice2">
    <w:name w:val="WPSOffice手动目录 2"/>
    <w:rsid w:val="007A7CF7"/>
    <w:pPr>
      <w:ind w:leftChars="200" w:left="200"/>
    </w:pPr>
  </w:style>
  <w:style w:type="paragraph" w:customStyle="1" w:styleId="WPSOffice1">
    <w:name w:val="WPSOffice手动目录 1"/>
    <w:rsid w:val="007A7CF7"/>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851</Words>
  <Characters>4855</Characters>
  <Application>Microsoft Office Word</Application>
  <DocSecurity>8</DocSecurity>
  <Lines>40</Lines>
  <Paragraphs>11</Paragraphs>
  <ScaleCrop>false</ScaleCrop>
  <Company/>
  <LinksUpToDate>false</LinksUpToDate>
  <CharactersWithSpaces>5695</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伊力亚尔</cp:lastModifiedBy>
  <cp:revision>11</cp:revision>
  <dcterms:created xsi:type="dcterms:W3CDTF">2020-09-08T14:04:00Z</dcterms:created>
  <dcterms:modified xsi:type="dcterms:W3CDTF">2021-07-11T06:54:00Z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