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新疆喀什地区农作物种子质量监督检测中心2019年度部门决算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8D3B8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8D3B89">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8D3B89">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8D3B89">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8D3B89">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8D3B89">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8D3B89">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8D3B89">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8D3B89">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BD4A88" w:rsidRDefault="00AE6C82" w:rsidP="00BD4A88">
      <w:pPr>
        <w:ind w:firstLine="630"/>
        <w:rPr>
          <w:rFonts w:ascii="仿宋_GB2312" w:eastAsia="仿宋_GB2312" w:hAnsi="仿宋_GB2312" w:cs="仿宋_GB2312" w:hint="eastAsia"/>
          <w:sz w:val="32"/>
        </w:rPr>
      </w:pPr>
      <w:r>
        <w:rPr>
          <w:rFonts w:ascii="仿宋_GB2312" w:eastAsia="仿宋_GB2312" w:hAnsi="仿宋_GB2312" w:cs="仿宋_GB2312"/>
          <w:sz w:val="32"/>
        </w:rPr>
        <w:t xml:space="preserve">"喀什地区农作物种子质量监督检测中心是地区农业局下属的独立核算的正科级全额拨款事业单位。是自治区质量技术监督局授权的法定的种子质量监督检验机构。      </w:t>
      </w:r>
    </w:p>
    <w:p w:rsidR="00471BBD" w:rsidRDefault="00AE6C82" w:rsidP="00BD4A88">
      <w:pPr>
        <w:rPr>
          <w:rFonts w:ascii="仿宋_GB2312" w:eastAsia="仿宋_GB2312"/>
          <w:sz w:val="32"/>
          <w:szCs w:val="32"/>
        </w:rPr>
      </w:pPr>
      <w:r>
        <w:rPr>
          <w:rFonts w:ascii="仿宋_GB2312" w:eastAsia="仿宋_GB2312" w:hAnsi="仿宋_GB2312" w:cs="仿宋_GB2312"/>
          <w:sz w:val="32"/>
        </w:rPr>
        <w:t>1、是执行国家种子质量管理法律法规和种子标准，监督检查种子生产和经营活动，对种子质量进行监督检验、仲裁鉴定和管理，查处违法生产、经营的行为，调节种子质量纠纷。      2、是负责管理种子生产、加工的全过程，进行种子质量的田间检验和室内检验，保证本行政区域内种子质量安全。      3、是承担上级及有关部门委托受理的种子质量争议的仲裁检验和委托检验，从法律法规及科学的角度正确、客观的评价种子质量水平，从而保证种子生产者、经营者、使用者的合法权益。</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新疆喀什地区农作物种子质量监督检测中心2019年度，实有人数15人，其中：在职人员9人，离休人员0人，退休人员6人。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从部门决算单位构成看，新疆喀什地区农作物种子质量监督检测中心部门决算包括：新疆喀什地区农作物种子质量监督检测中心决算。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lastRenderedPageBreak/>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189.22万元，与上年相比，减少5.44万元，下降2.79%，主要原因是：与上年相比人员减少5人,其中：2人分别为5月和6月份调出,1人4月份去世，2人辞职。本年支出189.22万元，与上年相比，减少5.44万元，下降2.79%，主要原因是：与上年相比人员减少5人,其中：2人分别为5月和6月份调出,1人4月份去世，2人辞职。</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2019年度本年收入189.22万元，其中：财政拨款收入189.22万元，占100%；上级补助收入0万元，占0%；事业收入0万元，占0%；经营收入0万元，占0%；附属单位上缴收入0万元，占0%；其他收入0万元，占0%。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2019年度本年支出189.22万元，其中：基本支出189.22万元，占100%；项目支出0万元，占0%；上缴上级支出0万元，占0%；经营支出0万元，占0%；对附属单位补助支出0万元，占0%。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2019年度财政拨款收入189.22万元，与上年相比，减少5.44万元，下降2.79%，主要原因是：与上年相比人员减少5人,其中：2人分别为5月和6月份调出,1人4月份</w:t>
      </w:r>
      <w:r>
        <w:rPr>
          <w:rFonts w:ascii="仿宋_GB2312" w:eastAsia="仿宋_GB2312" w:hAnsi="仿宋_GB2312" w:cs="仿宋_GB2312"/>
          <w:sz w:val="32"/>
        </w:rPr>
        <w:lastRenderedPageBreak/>
        <w:t>去世，2人辞职。财政拨款支出189.22万元，与上年相比，减少5.44万元，下降2.79%，主要原因是：与上年相比人员减少5人,其中：2人分别为5月和6月份调出,1人4月份去世，2人辞职。</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214.01万元，决算数189.22万元，预决算差异率-11.58%，主要原因是：人员减少5人，社会福利支出减少，相关支出减少。财政拨款支出年初预算数214.01万元，决算数189.22万元，预决算差异率-11.58%，主要原因是：人员减少5人，社会福利支出减少，相关支出减少。</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2019年度一般公共预算财政拨款支出189.22万元。按功能分类科目项级科目公开，其中：</w:t>
      </w:r>
    </w:p>
    <w:p w:rsidR="008D3B89" w:rsidRDefault="004B233D">
      <w:pPr>
        <w:ind w:firstLine="480"/>
      </w:pPr>
      <w:r>
        <w:rPr>
          <w:rFonts w:ascii="仿宋_GB2312" w:eastAsia="仿宋_GB2312" w:hAnsi="仿宋_GB2312" w:cs="仿宋_GB2312"/>
          <w:sz w:val="32"/>
        </w:rPr>
        <w:t xml:space="preserve">   2210201</w:t>
      </w:r>
      <w:r>
        <w:rPr>
          <w:rFonts w:ascii="仿宋_GB2312" w:eastAsia="仿宋_GB2312" w:hAnsi="仿宋_GB2312" w:cs="仿宋_GB2312"/>
          <w:sz w:val="32"/>
        </w:rPr>
        <w:t>住房公积金支出</w:t>
      </w:r>
      <w:r>
        <w:rPr>
          <w:rFonts w:ascii="仿宋_GB2312" w:eastAsia="仿宋_GB2312" w:hAnsi="仿宋_GB2312" w:cs="仿宋_GB2312"/>
          <w:sz w:val="32"/>
        </w:rPr>
        <w:t>9.97</w:t>
      </w:r>
      <w:r>
        <w:rPr>
          <w:rFonts w:ascii="仿宋_GB2312" w:eastAsia="仿宋_GB2312" w:hAnsi="仿宋_GB2312" w:cs="仿宋_GB2312"/>
          <w:sz w:val="32"/>
        </w:rPr>
        <w:t>万元。</w:t>
      </w:r>
    </w:p>
    <w:p w:rsidR="008D3B89" w:rsidRDefault="004B233D">
      <w:pPr>
        <w:ind w:firstLine="480"/>
      </w:pPr>
      <w:r>
        <w:rPr>
          <w:rFonts w:ascii="仿宋_GB2312" w:eastAsia="仿宋_GB2312" w:hAnsi="仿宋_GB2312" w:cs="仿宋_GB2312"/>
          <w:sz w:val="32"/>
        </w:rPr>
        <w:t xml:space="preserve">   2130101</w:t>
      </w:r>
      <w:r>
        <w:rPr>
          <w:rFonts w:ascii="仿宋_GB2312" w:eastAsia="仿宋_GB2312" w:hAnsi="仿宋_GB2312" w:cs="仿宋_GB2312"/>
          <w:sz w:val="32"/>
        </w:rPr>
        <w:t>行政运行支出</w:t>
      </w:r>
      <w:r>
        <w:rPr>
          <w:rFonts w:ascii="仿宋_GB2312" w:eastAsia="仿宋_GB2312" w:hAnsi="仿宋_GB2312" w:cs="仿宋_GB2312"/>
          <w:sz w:val="32"/>
        </w:rPr>
        <w:t>164.90</w:t>
      </w:r>
      <w:r>
        <w:rPr>
          <w:rFonts w:ascii="仿宋_GB2312" w:eastAsia="仿宋_GB2312" w:hAnsi="仿宋_GB2312" w:cs="仿宋_GB2312"/>
          <w:sz w:val="32"/>
        </w:rPr>
        <w:t>万元；</w:t>
      </w:r>
    </w:p>
    <w:p w:rsidR="008D3B89" w:rsidRDefault="004B233D">
      <w:pPr>
        <w:ind w:firstLine="480"/>
      </w:pPr>
      <w:r>
        <w:rPr>
          <w:rFonts w:ascii="仿宋_GB2312" w:eastAsia="仿宋_GB2312" w:hAnsi="仿宋_GB2312" w:cs="仿宋_GB2312"/>
          <w:sz w:val="32"/>
        </w:rPr>
        <w:t xml:space="preserve">   2080506</w:t>
      </w:r>
      <w:r>
        <w:rPr>
          <w:rFonts w:ascii="仿宋_GB2312" w:eastAsia="仿宋_GB2312" w:hAnsi="仿宋_GB2312" w:cs="仿宋_GB2312"/>
          <w:sz w:val="32"/>
        </w:rPr>
        <w:t>机关事业单位职业年金缴费支出</w:t>
      </w:r>
      <w:r>
        <w:rPr>
          <w:rFonts w:ascii="仿宋_GB2312" w:eastAsia="仿宋_GB2312" w:hAnsi="仿宋_GB2312" w:cs="仿宋_GB2312"/>
          <w:sz w:val="32"/>
        </w:rPr>
        <w:t>0.96</w:t>
      </w:r>
      <w:r>
        <w:rPr>
          <w:rFonts w:ascii="仿宋_GB2312" w:eastAsia="仿宋_GB2312" w:hAnsi="仿宋_GB2312" w:cs="仿宋_GB2312"/>
          <w:sz w:val="32"/>
        </w:rPr>
        <w:t>万元；</w:t>
      </w:r>
    </w:p>
    <w:p w:rsidR="008D3B89" w:rsidRDefault="004B233D">
      <w:pPr>
        <w:ind w:firstLine="480"/>
      </w:pPr>
      <w:r>
        <w:rPr>
          <w:rFonts w:ascii="仿宋_GB2312" w:eastAsia="仿宋_GB2312" w:hAnsi="仿宋_GB2312" w:cs="仿宋_GB2312"/>
          <w:sz w:val="32"/>
        </w:rPr>
        <w:t xml:space="preserve">   2080505</w:t>
      </w:r>
      <w:r>
        <w:rPr>
          <w:rFonts w:ascii="仿宋_GB2312" w:eastAsia="仿宋_GB2312" w:hAnsi="仿宋_GB2312" w:cs="仿宋_GB2312"/>
          <w:sz w:val="32"/>
        </w:rPr>
        <w:t>机关事业单位基本养老保险缴费支出</w:t>
      </w:r>
      <w:r>
        <w:rPr>
          <w:rFonts w:ascii="仿宋_GB2312" w:eastAsia="仿宋_GB2312" w:hAnsi="仿宋_GB2312" w:cs="仿宋_GB2312"/>
          <w:sz w:val="32"/>
        </w:rPr>
        <w:t>13.39</w:t>
      </w:r>
      <w:r>
        <w:rPr>
          <w:rFonts w:ascii="仿宋_GB2312" w:eastAsia="仿宋_GB2312" w:hAnsi="仿宋_GB2312" w:cs="仿宋_GB2312"/>
          <w:sz w:val="32"/>
        </w:rPr>
        <w:t>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2019年度一般公共预算财政拨款基本支出189.22万元，其中：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人员经费181.68万元，包括：基本工资、津贴补贴、</w:t>
      </w:r>
      <w:r>
        <w:rPr>
          <w:rFonts w:ascii="仿宋_GB2312" w:eastAsia="仿宋_GB2312" w:hAnsi="仿宋_GB2312" w:cs="仿宋_GB2312"/>
          <w:sz w:val="32"/>
        </w:rPr>
        <w:lastRenderedPageBreak/>
        <w:t>奖金、机关事业单位基本养老保险缴费、职业年金缴费、职工基本医疗保险缴费、公务员医疗补助缴费、其他社会保障缴费、住房公积金、退休费、抚恤金、奖励金、其他对个人和家庭的补助。</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公用经费7.54万元，包括：办公费、手续费、邮电费、差旅费、公务用车运行维护费、其他商品和服务支出。</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1.80万元，比上年增加0万元，增长0%，主要原因是与上年相比无变动，与上年一致。其中，因公出国（境）费支出0万元，占0%，比上年增加0万元，增长0%，主要原因是与上年相比无变动，与上年一致；公务用车购置及运行维护费支出1.80万元，占100%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公务用车购置及运行维护费1.80万元，其中，公务用车购置费0万元，公务用车运行维护费1.80万元。公务用</w:t>
      </w:r>
      <w:r>
        <w:rPr>
          <w:rFonts w:ascii="仿宋_GB2312" w:eastAsia="仿宋_GB2312" w:hAnsi="仿宋_GB2312" w:cs="仿宋_GB2312"/>
          <w:sz w:val="32"/>
        </w:rPr>
        <w:lastRenderedPageBreak/>
        <w:t>车运行维护费开支内容包括车辆保险费、汽车油料、过路费、维修费等等。公务用车购置数0辆，公务用车保有量1辆。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1.80万元，决算数1.80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1.80万元，决算数1.80万元，预决算差异率0%，主要原因是：严格按照预算安排执行，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2019年度新疆喀什地区农作物种子质量监督检测中心机关运行经费支出7.54万元，比上年减少0.18万元，降低</w:t>
      </w:r>
      <w:r>
        <w:rPr>
          <w:rFonts w:ascii="仿宋_GB2312" w:eastAsia="仿宋_GB2312" w:hAnsi="仿宋_GB2312" w:cs="仿宋_GB2312"/>
          <w:sz w:val="32"/>
        </w:rPr>
        <w:lastRenderedPageBreak/>
        <w:t>2.33%，主要原因是人员减少，办公经费减少，相关支出减少。</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2019年度政府采购支出总额1.37万元，其中：政府采购货物支出0.98万元、政府采购工程支出0万元、政府采购服务支出0.39万元。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授予中小企业合同金额0万元，占政府采购支出总额的0%，其中：授予小微企业合同金额0万元，占政府采购支出总额的0%。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834.50（平方米），价值115万元。车辆1辆，价值18.47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根据预算绩效管理要求，我单位2019年度开展预算绩效评价项目2个，共涉及资金0万元。预算绩效管理取得的成效：一是经济性评价：部门年度任务已在预算资金额度内</w:t>
      </w:r>
      <w:r>
        <w:rPr>
          <w:rFonts w:ascii="仿宋_GB2312" w:eastAsia="仿宋_GB2312" w:hAnsi="仿宋_GB2312" w:cs="仿宋_GB2312"/>
          <w:sz w:val="32"/>
        </w:rPr>
        <w:lastRenderedPageBreak/>
        <w:t>完成，并通过规范的招投标及严格的资金管理及项目管理及其他创新的管理措施实现了资金的节约。三公经费在预算范围内开支，开支范围较上年无变化。二是效率性评价：各项工作计划按预期计划按时完成，效益按预期时间产生。三是效益性评价：预期的经济效益、社会效益、可持续的影响已产生，达到预期满意度。发现的问题及原因：一是项目支出预算5.33万元，资金按时到位，由于本中心资质到期，无法按照《检验检测机构资质认定评审准则》的要求签发有效的检验检测报告，未开展复复评审，实验室仅保持实验室环境、检测仪器设备及档案资料的日常维护，药品试剂都没有进行采购，未进行仪器设备鉴定校验维修费，所有费用清退。下一步改进措施：一是下一步任务是按照工作需要，年初做好资金计划，按照项目进度及时拨付资金，使资金使用效益最大化，减少不必要的浪费，节约成本。向单位主要领导汇报并建议设立专门机构和人员，专门负责绩效管理和监控工作，并根据单位资金情况，做好年度绩效跟踪监控工作，确保单位的各项资金按预算按进度有效安全使用，发挥财政资金的最大效益。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lastRenderedPageBreak/>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8D3B89">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33D" w:rsidRDefault="004B233D">
      <w:r>
        <w:separator/>
      </w:r>
    </w:p>
  </w:endnote>
  <w:endnote w:type="continuationSeparator" w:id="0">
    <w:p w:rsidR="004B233D" w:rsidRDefault="004B2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8D3B89">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8D3B89">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BD4A88">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33D" w:rsidRDefault="004B233D">
      <w:r>
        <w:separator/>
      </w:r>
    </w:p>
  </w:footnote>
  <w:footnote w:type="continuationSeparator" w:id="0">
    <w:p w:rsidR="004B233D" w:rsidRDefault="004B23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cumentProtection w:edit="comments" w:enforcement="1" w:cryptProviderType="rsaFull" w:cryptAlgorithmClass="hash" w:cryptAlgorithmType="typeAny" w:cryptAlgorithmSid="4" w:cryptSpinCount="100000" w:hash="EhRYCepeVGoiOVmn+Yjl1IyHgGA=" w:salt="FhKaNZJ0iHSkVfBOpOhRIQ=="/>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33D"/>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3B89"/>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D4A88"/>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3B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8D3B89"/>
    <w:pPr>
      <w:ind w:leftChars="200" w:left="420"/>
    </w:pPr>
  </w:style>
  <w:style w:type="paragraph" w:styleId="1">
    <w:name w:val="toc 1"/>
    <w:basedOn w:val="a"/>
    <w:next w:val="a"/>
    <w:rsid w:val="008D3B89"/>
  </w:style>
  <w:style w:type="paragraph" w:styleId="a3">
    <w:name w:val="header"/>
    <w:basedOn w:val="a"/>
    <w:rsid w:val="008D3B8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8D3B89"/>
    <w:pPr>
      <w:ind w:leftChars="400" w:left="840"/>
    </w:pPr>
  </w:style>
  <w:style w:type="paragraph" w:styleId="a4">
    <w:name w:val="footer"/>
    <w:basedOn w:val="a"/>
    <w:rsid w:val="008D3B89"/>
    <w:pPr>
      <w:tabs>
        <w:tab w:val="center" w:pos="4153"/>
        <w:tab w:val="right" w:pos="8306"/>
      </w:tabs>
      <w:snapToGrid w:val="0"/>
      <w:jc w:val="left"/>
    </w:pPr>
    <w:rPr>
      <w:sz w:val="18"/>
    </w:rPr>
  </w:style>
  <w:style w:type="paragraph" w:styleId="a5">
    <w:name w:val="annotation text"/>
    <w:basedOn w:val="a"/>
    <w:rsid w:val="008D3B89"/>
    <w:pPr>
      <w:jc w:val="left"/>
    </w:pPr>
  </w:style>
  <w:style w:type="paragraph" w:customStyle="1" w:styleId="WPSOffice3">
    <w:name w:val="WPSOffice手动目录 3"/>
    <w:rsid w:val="008D3B89"/>
    <w:pPr>
      <w:ind w:leftChars="400" w:left="400"/>
    </w:pPr>
  </w:style>
  <w:style w:type="paragraph" w:customStyle="1" w:styleId="WPSOffice2">
    <w:name w:val="WPSOffice手动目录 2"/>
    <w:rsid w:val="008D3B89"/>
    <w:pPr>
      <w:ind w:leftChars="200" w:left="200"/>
    </w:pPr>
  </w:style>
  <w:style w:type="paragraph" w:customStyle="1" w:styleId="WPSOffice1">
    <w:name w:val="WPSOffice手动目录 1"/>
    <w:rsid w:val="008D3B89"/>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882</Words>
  <Characters>5029</Characters>
  <Application>Microsoft Office Word</Application>
  <DocSecurity>8</DocSecurity>
  <Lines>41</Lines>
  <Paragraphs>11</Paragraphs>
  <ScaleCrop>false</ScaleCrop>
  <Company/>
  <LinksUpToDate>false</LinksUpToDate>
  <CharactersWithSpaces>5900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7</cp:revision>
  <dcterms:created xsi:type="dcterms:W3CDTF">2020-09-08T14:04:00Z</dcterms:created>
  <dcterms:modified xsi:type="dcterms:W3CDTF">2020-09-11T10:51:00Z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