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53A8" w:rsidRDefault="008853A8">
      <w:pPr>
        <w:rPr>
          <w:rFonts w:ascii="黑体" w:eastAsia="黑体" w:hAnsi="黑体"/>
          <w:sz w:val="32"/>
          <w:szCs w:val="32"/>
        </w:rPr>
      </w:pPr>
      <w:r>
        <w:rPr>
          <w:rFonts w:ascii="黑体" w:eastAsia="黑体" w:hAnsi="黑体" w:hint="eastAsia"/>
          <w:sz w:val="32"/>
          <w:szCs w:val="32"/>
        </w:rPr>
        <w:t>附件：</w:t>
      </w:r>
    </w:p>
    <w:p w:rsidR="008853A8" w:rsidRDefault="008853A8">
      <w:pPr>
        <w:jc w:val="center"/>
        <w:rPr>
          <w:rFonts w:ascii="方正小标宋_GBK" w:eastAsia="方正小标宋_GBK" w:hAnsi="宋体"/>
          <w:sz w:val="44"/>
          <w:szCs w:val="44"/>
        </w:rPr>
      </w:pPr>
    </w:p>
    <w:p w:rsidR="008853A8" w:rsidRDefault="008853A8">
      <w:pPr>
        <w:jc w:val="center"/>
        <w:rPr>
          <w:rFonts w:ascii="方正小标宋_GBK" w:eastAsia="方正小标宋_GBK" w:hAnsi="宋体"/>
          <w:sz w:val="44"/>
          <w:szCs w:val="44"/>
        </w:rPr>
      </w:pPr>
    </w:p>
    <w:p w:rsidR="008853A8" w:rsidRDefault="008853A8">
      <w:pPr>
        <w:jc w:val="center"/>
        <w:rPr>
          <w:rFonts w:ascii="方正小标宋_GBK" w:eastAsia="方正小标宋_GBK" w:hAnsi="宋体"/>
          <w:sz w:val="44"/>
          <w:szCs w:val="44"/>
        </w:rPr>
      </w:pPr>
    </w:p>
    <w:p w:rsidR="008853A8" w:rsidRDefault="008853A8">
      <w:pPr>
        <w:jc w:val="center"/>
        <w:rPr>
          <w:rFonts w:ascii="方正小标宋_GBK" w:eastAsia="方正小标宋_GBK" w:hAnsi="宋体"/>
          <w:sz w:val="44"/>
          <w:szCs w:val="44"/>
        </w:rPr>
      </w:pPr>
    </w:p>
    <w:p w:rsidR="008853A8" w:rsidRDefault="00377EC6">
      <w:pPr>
        <w:jc w:val="center"/>
        <w:rPr>
          <w:rFonts w:ascii="方正小标宋_GBK" w:eastAsia="方正小标宋_GBK" w:hAnsi="宋体"/>
          <w:sz w:val="44"/>
          <w:szCs w:val="44"/>
        </w:rPr>
      </w:pPr>
      <w:r>
        <w:rPr>
          <w:rFonts w:ascii="方正小标宋_GBK" w:eastAsia="方正小标宋_GBK" w:hAnsi="方正小标宋_GBK" w:cs="方正小标宋_GBK"/>
          <w:sz w:val="44"/>
        </w:rPr>
        <w:t>新疆喀什地区农村合作经济经营管理局2019年度部门决算</w:t>
      </w:r>
    </w:p>
    <w:p w:rsidR="008853A8" w:rsidRDefault="008853A8">
      <w:pPr>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8853A8" w:rsidRDefault="008853A8">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 录</w:t>
      </w:r>
    </w:p>
    <w:p w:rsidR="008853A8" w:rsidRDefault="007458BF">
      <w:pPr>
        <w:pStyle w:val="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sidR="008853A8">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8853A8">
          <w:rPr>
            <w:rFonts w:ascii="仿宋_GB2312" w:eastAsia="仿宋_GB2312" w:hAnsi="仿宋_GB2312" w:cs="仿宋_GB2312" w:hint="eastAsia"/>
            <w:b/>
            <w:bCs/>
            <w:sz w:val="32"/>
            <w:szCs w:val="32"/>
          </w:rPr>
          <w:t>第一部分 部门单位概况</w:t>
        </w:r>
      </w:hyperlink>
    </w:p>
    <w:p w:rsidR="008853A8" w:rsidRDefault="007458BF">
      <w:pPr>
        <w:pStyle w:val="2"/>
        <w:tabs>
          <w:tab w:val="right" w:pos="8306"/>
        </w:tabs>
        <w:ind w:leftChars="0" w:left="0"/>
        <w:rPr>
          <w:rFonts w:ascii="仿宋_GB2312" w:eastAsia="仿宋_GB2312" w:hAnsi="仿宋_GB2312" w:cs="仿宋_GB2312"/>
          <w:sz w:val="32"/>
          <w:szCs w:val="32"/>
        </w:rPr>
      </w:pPr>
      <w:hyperlink w:anchor="_Toc30567" w:history="1">
        <w:r w:rsidR="008853A8">
          <w:rPr>
            <w:rFonts w:ascii="仿宋_GB2312" w:eastAsia="仿宋_GB2312" w:hAnsi="仿宋_GB2312" w:cs="仿宋_GB2312" w:hint="eastAsia"/>
            <w:bCs/>
            <w:kern w:val="0"/>
            <w:sz w:val="32"/>
            <w:szCs w:val="32"/>
          </w:rPr>
          <w:t>一、主要职能</w:t>
        </w:r>
      </w:hyperlink>
    </w:p>
    <w:p w:rsidR="008853A8" w:rsidRDefault="007458BF">
      <w:pPr>
        <w:pStyle w:val="2"/>
        <w:tabs>
          <w:tab w:val="right" w:pos="8306"/>
        </w:tabs>
        <w:ind w:leftChars="0" w:left="0"/>
        <w:rPr>
          <w:rFonts w:ascii="仿宋_GB2312" w:eastAsia="仿宋_GB2312" w:hAnsi="仿宋_GB2312" w:cs="仿宋_GB2312"/>
          <w:sz w:val="32"/>
          <w:szCs w:val="32"/>
        </w:rPr>
      </w:pPr>
      <w:hyperlink w:anchor="_Toc2151" w:history="1">
        <w:r w:rsidR="008853A8">
          <w:rPr>
            <w:rFonts w:ascii="仿宋_GB2312" w:eastAsia="仿宋_GB2312" w:hAnsi="仿宋_GB2312" w:cs="仿宋_GB2312" w:hint="eastAsia"/>
            <w:bCs/>
            <w:kern w:val="0"/>
            <w:sz w:val="32"/>
            <w:szCs w:val="32"/>
          </w:rPr>
          <w:t>二、机构设置及人员情况</w:t>
        </w:r>
      </w:hyperlink>
    </w:p>
    <w:p w:rsidR="008853A8" w:rsidRDefault="007458BF">
      <w:pPr>
        <w:pStyle w:val="1"/>
        <w:tabs>
          <w:tab w:val="right" w:pos="8306"/>
        </w:tabs>
        <w:rPr>
          <w:rFonts w:ascii="仿宋_GB2312" w:eastAsia="仿宋_GB2312" w:hAnsi="仿宋_GB2312" w:cs="仿宋_GB2312"/>
          <w:b/>
          <w:bCs/>
          <w:sz w:val="32"/>
          <w:szCs w:val="32"/>
        </w:rPr>
      </w:pPr>
      <w:hyperlink w:anchor="_Toc29374" w:history="1">
        <w:r w:rsidR="008853A8">
          <w:rPr>
            <w:rFonts w:ascii="仿宋_GB2312" w:eastAsia="仿宋_GB2312" w:hAnsi="仿宋_GB2312" w:cs="仿宋_GB2312" w:hint="eastAsia"/>
            <w:b/>
            <w:bCs/>
            <w:sz w:val="32"/>
            <w:szCs w:val="32"/>
          </w:rPr>
          <w:t>第二部分 部门决算情况说明</w:t>
        </w:r>
      </w:hyperlink>
    </w:p>
    <w:p w:rsidR="008853A8" w:rsidRDefault="007458BF">
      <w:pPr>
        <w:pStyle w:val="2"/>
        <w:tabs>
          <w:tab w:val="right" w:pos="8306"/>
        </w:tabs>
        <w:ind w:leftChars="0" w:left="0"/>
        <w:rPr>
          <w:rFonts w:ascii="仿宋_GB2312" w:eastAsia="仿宋_GB2312" w:hAnsi="仿宋_GB2312" w:cs="仿宋_GB2312"/>
          <w:sz w:val="32"/>
          <w:szCs w:val="32"/>
        </w:rPr>
      </w:pPr>
      <w:hyperlink w:anchor="_Toc25314" w:history="1">
        <w:r w:rsidR="008853A8">
          <w:rPr>
            <w:rFonts w:ascii="仿宋_GB2312" w:eastAsia="仿宋_GB2312" w:hAnsi="仿宋_GB2312" w:cs="仿宋_GB2312" w:hint="eastAsia"/>
            <w:bCs/>
            <w:kern w:val="0"/>
            <w:sz w:val="32"/>
            <w:szCs w:val="32"/>
          </w:rPr>
          <w:t>一、收入支出决算总体情况说明</w:t>
        </w:r>
      </w:hyperlink>
    </w:p>
    <w:p w:rsidR="008853A8" w:rsidRDefault="007458BF">
      <w:pPr>
        <w:pStyle w:val="2"/>
        <w:tabs>
          <w:tab w:val="right" w:pos="8306"/>
        </w:tabs>
        <w:ind w:leftChars="0" w:left="0"/>
        <w:rPr>
          <w:rFonts w:ascii="仿宋_GB2312" w:eastAsia="仿宋_GB2312" w:hAnsi="仿宋_GB2312" w:cs="仿宋_GB2312"/>
          <w:sz w:val="32"/>
          <w:szCs w:val="32"/>
        </w:rPr>
      </w:pPr>
      <w:hyperlink w:anchor="_Toc12142" w:history="1">
        <w:r w:rsidR="008853A8">
          <w:rPr>
            <w:rFonts w:ascii="仿宋_GB2312" w:eastAsia="仿宋_GB2312" w:hAnsi="仿宋_GB2312" w:cs="仿宋_GB2312" w:hint="eastAsia"/>
            <w:bCs/>
            <w:kern w:val="0"/>
            <w:sz w:val="32"/>
            <w:szCs w:val="32"/>
          </w:rPr>
          <w:t>二、收入决算情况说明</w:t>
        </w:r>
      </w:hyperlink>
    </w:p>
    <w:p w:rsidR="008853A8" w:rsidRDefault="007458BF">
      <w:pPr>
        <w:pStyle w:val="2"/>
        <w:tabs>
          <w:tab w:val="right" w:pos="8306"/>
        </w:tabs>
        <w:ind w:leftChars="0" w:left="0"/>
        <w:rPr>
          <w:rFonts w:ascii="仿宋_GB2312" w:eastAsia="仿宋_GB2312" w:hAnsi="仿宋_GB2312" w:cs="仿宋_GB2312"/>
          <w:sz w:val="32"/>
          <w:szCs w:val="32"/>
        </w:rPr>
      </w:pPr>
      <w:hyperlink w:anchor="_Toc13201" w:history="1">
        <w:r w:rsidR="008853A8">
          <w:rPr>
            <w:rFonts w:ascii="仿宋_GB2312" w:eastAsia="仿宋_GB2312" w:hAnsi="仿宋_GB2312" w:cs="仿宋_GB2312" w:hint="eastAsia"/>
            <w:bCs/>
            <w:kern w:val="0"/>
            <w:sz w:val="32"/>
            <w:szCs w:val="32"/>
          </w:rPr>
          <w:t>三、支出决算情况说明</w:t>
        </w:r>
      </w:hyperlink>
    </w:p>
    <w:p w:rsidR="008853A8" w:rsidRDefault="007458BF">
      <w:pPr>
        <w:pStyle w:val="2"/>
        <w:tabs>
          <w:tab w:val="right" w:pos="8306"/>
        </w:tabs>
        <w:ind w:leftChars="0" w:left="0"/>
        <w:rPr>
          <w:rFonts w:ascii="仿宋_GB2312" w:eastAsia="仿宋_GB2312" w:hAnsi="仿宋_GB2312" w:cs="仿宋_GB2312"/>
          <w:sz w:val="32"/>
          <w:szCs w:val="32"/>
        </w:rPr>
      </w:pPr>
      <w:hyperlink w:anchor="_Toc26564" w:history="1">
        <w:r w:rsidR="008853A8">
          <w:rPr>
            <w:rFonts w:ascii="仿宋_GB2312" w:eastAsia="仿宋_GB2312" w:hAnsi="仿宋_GB2312" w:cs="仿宋_GB2312" w:hint="eastAsia"/>
            <w:bCs/>
            <w:kern w:val="0"/>
            <w:sz w:val="32"/>
            <w:szCs w:val="32"/>
          </w:rPr>
          <w:t>四、财政拨款收入支出决算总体情况说明</w:t>
        </w:r>
      </w:hyperlink>
    </w:p>
    <w:p w:rsidR="008853A8" w:rsidRDefault="007458BF">
      <w:pPr>
        <w:pStyle w:val="2"/>
        <w:tabs>
          <w:tab w:val="right" w:pos="8306"/>
        </w:tabs>
        <w:ind w:leftChars="0" w:left="0"/>
        <w:rPr>
          <w:rFonts w:ascii="仿宋_GB2312" w:eastAsia="仿宋_GB2312" w:hAnsi="仿宋_GB2312" w:cs="仿宋_GB2312"/>
          <w:sz w:val="32"/>
          <w:szCs w:val="32"/>
        </w:rPr>
      </w:pPr>
      <w:hyperlink w:anchor="_Toc20360" w:history="1">
        <w:r w:rsidR="008853A8">
          <w:rPr>
            <w:rFonts w:ascii="仿宋_GB2312" w:eastAsia="仿宋_GB2312" w:hAnsi="仿宋_GB2312" w:cs="仿宋_GB2312" w:hint="eastAsia"/>
            <w:bCs/>
            <w:kern w:val="0"/>
            <w:sz w:val="32"/>
            <w:szCs w:val="32"/>
          </w:rPr>
          <w:t>五、一般公共预算财政拨款支出决算情况说明</w:t>
        </w:r>
      </w:hyperlink>
    </w:p>
    <w:p w:rsidR="008853A8" w:rsidRDefault="007458BF">
      <w:pPr>
        <w:pStyle w:val="2"/>
        <w:tabs>
          <w:tab w:val="right" w:pos="8306"/>
        </w:tabs>
        <w:ind w:leftChars="0" w:left="0"/>
        <w:rPr>
          <w:rFonts w:ascii="仿宋_GB2312" w:eastAsia="仿宋_GB2312" w:hAnsi="仿宋_GB2312" w:cs="仿宋_GB2312"/>
          <w:sz w:val="32"/>
          <w:szCs w:val="32"/>
        </w:rPr>
      </w:pPr>
      <w:hyperlink w:anchor="_Toc30870" w:history="1">
        <w:r w:rsidR="008853A8">
          <w:rPr>
            <w:rFonts w:ascii="仿宋_GB2312" w:eastAsia="仿宋_GB2312" w:hAnsi="仿宋_GB2312" w:cs="仿宋_GB2312" w:hint="eastAsia"/>
            <w:bCs/>
            <w:kern w:val="0"/>
            <w:sz w:val="32"/>
            <w:szCs w:val="32"/>
          </w:rPr>
          <w:t>六、一般公共预算财政拨款基本支出决算情况说明</w:t>
        </w:r>
      </w:hyperlink>
    </w:p>
    <w:p w:rsidR="008853A8" w:rsidRDefault="007458BF">
      <w:pPr>
        <w:pStyle w:val="2"/>
        <w:tabs>
          <w:tab w:val="right" w:pos="8306"/>
        </w:tabs>
        <w:ind w:leftChars="0" w:left="0"/>
        <w:rPr>
          <w:rFonts w:ascii="仿宋_GB2312" w:eastAsia="仿宋_GB2312" w:hAnsi="仿宋_GB2312" w:cs="仿宋_GB2312"/>
          <w:sz w:val="32"/>
          <w:szCs w:val="32"/>
        </w:rPr>
      </w:pPr>
      <w:hyperlink w:anchor="_Toc21518" w:history="1">
        <w:r w:rsidR="008853A8">
          <w:rPr>
            <w:rFonts w:ascii="仿宋_GB2312" w:eastAsia="仿宋_GB2312" w:hAnsi="仿宋_GB2312" w:cs="仿宋_GB2312" w:hint="eastAsia"/>
            <w:bCs/>
            <w:kern w:val="0"/>
            <w:sz w:val="32"/>
            <w:szCs w:val="32"/>
          </w:rPr>
          <w:t>七、一般公共预算财政拨款“三公”经费支出决算情况说明</w:t>
        </w:r>
      </w:hyperlink>
    </w:p>
    <w:p w:rsidR="008853A8" w:rsidRDefault="007458BF">
      <w:pPr>
        <w:pStyle w:val="2"/>
        <w:tabs>
          <w:tab w:val="right" w:pos="8306"/>
        </w:tabs>
        <w:ind w:leftChars="0" w:left="0"/>
        <w:rPr>
          <w:rFonts w:ascii="仿宋_GB2312" w:eastAsia="仿宋_GB2312" w:hAnsi="仿宋_GB2312" w:cs="仿宋_GB2312"/>
          <w:sz w:val="32"/>
          <w:szCs w:val="32"/>
        </w:rPr>
      </w:pPr>
      <w:hyperlink w:anchor="_Toc5810" w:history="1">
        <w:r w:rsidR="008853A8">
          <w:rPr>
            <w:rFonts w:ascii="仿宋_GB2312" w:eastAsia="仿宋_GB2312" w:hAnsi="仿宋_GB2312" w:cs="仿宋_GB2312" w:hint="eastAsia"/>
            <w:bCs/>
            <w:kern w:val="0"/>
            <w:sz w:val="32"/>
            <w:szCs w:val="32"/>
          </w:rPr>
          <w:t>八、政府性基金预算收入支出决算情况说明</w:t>
        </w:r>
      </w:hyperlink>
    </w:p>
    <w:p w:rsidR="008853A8" w:rsidRDefault="007458BF">
      <w:pPr>
        <w:pStyle w:val="2"/>
        <w:tabs>
          <w:tab w:val="right" w:pos="8306"/>
        </w:tabs>
        <w:ind w:leftChars="0" w:left="0"/>
        <w:rPr>
          <w:rFonts w:ascii="仿宋_GB2312" w:eastAsia="仿宋_GB2312" w:hAnsi="仿宋_GB2312" w:cs="仿宋_GB2312"/>
          <w:sz w:val="32"/>
          <w:szCs w:val="32"/>
        </w:rPr>
      </w:pPr>
      <w:hyperlink w:anchor="_Toc1235" w:history="1">
        <w:r w:rsidR="008853A8">
          <w:rPr>
            <w:rFonts w:ascii="仿宋_GB2312" w:eastAsia="仿宋_GB2312" w:hAnsi="仿宋_GB2312" w:cs="仿宋_GB2312" w:hint="eastAsia"/>
            <w:bCs/>
            <w:kern w:val="0"/>
            <w:sz w:val="32"/>
            <w:szCs w:val="32"/>
          </w:rPr>
          <w:t>九、其他重要事项的情况说明</w:t>
        </w:r>
      </w:hyperlink>
    </w:p>
    <w:p w:rsidR="008853A8" w:rsidRDefault="007458BF">
      <w:pPr>
        <w:pStyle w:val="3"/>
        <w:tabs>
          <w:tab w:val="right" w:pos="8306"/>
        </w:tabs>
        <w:ind w:leftChars="0" w:left="0"/>
        <w:rPr>
          <w:rFonts w:ascii="仿宋_GB2312" w:eastAsia="仿宋_GB2312" w:hAnsi="仿宋_GB2312" w:cs="仿宋_GB2312"/>
          <w:sz w:val="32"/>
          <w:szCs w:val="32"/>
        </w:rPr>
      </w:pPr>
      <w:hyperlink w:anchor="_Toc14519" w:history="1">
        <w:r w:rsidR="008853A8">
          <w:rPr>
            <w:rFonts w:ascii="仿宋_GB2312" w:eastAsia="仿宋_GB2312" w:hAnsi="仿宋_GB2312" w:cs="仿宋_GB2312" w:hint="eastAsia"/>
            <w:sz w:val="32"/>
            <w:szCs w:val="32"/>
          </w:rPr>
          <w:t>（一）机关运行经费支出情况</w:t>
        </w:r>
      </w:hyperlink>
    </w:p>
    <w:p w:rsidR="008853A8" w:rsidRDefault="007458BF">
      <w:pPr>
        <w:pStyle w:val="3"/>
        <w:tabs>
          <w:tab w:val="right" w:pos="8306"/>
        </w:tabs>
        <w:ind w:leftChars="0" w:left="0"/>
        <w:rPr>
          <w:rFonts w:ascii="仿宋_GB2312" w:eastAsia="仿宋_GB2312" w:hAnsi="仿宋_GB2312" w:cs="仿宋_GB2312"/>
          <w:sz w:val="32"/>
          <w:szCs w:val="32"/>
        </w:rPr>
      </w:pPr>
      <w:hyperlink w:anchor="_Toc227" w:history="1">
        <w:r w:rsidR="008853A8">
          <w:rPr>
            <w:rFonts w:ascii="仿宋_GB2312" w:eastAsia="仿宋_GB2312" w:hAnsi="仿宋_GB2312" w:cs="仿宋_GB2312" w:hint="eastAsia"/>
            <w:sz w:val="32"/>
            <w:szCs w:val="32"/>
          </w:rPr>
          <w:t>（二）政府采购情况</w:t>
        </w:r>
      </w:hyperlink>
    </w:p>
    <w:p w:rsidR="008853A8" w:rsidRDefault="007458BF">
      <w:pPr>
        <w:pStyle w:val="3"/>
        <w:tabs>
          <w:tab w:val="right" w:pos="8306"/>
        </w:tabs>
        <w:ind w:leftChars="0" w:left="0"/>
        <w:rPr>
          <w:rFonts w:ascii="仿宋_GB2312" w:eastAsia="仿宋_GB2312" w:hAnsi="仿宋_GB2312" w:cs="仿宋_GB2312"/>
          <w:sz w:val="32"/>
          <w:szCs w:val="32"/>
        </w:rPr>
      </w:pPr>
      <w:hyperlink w:anchor="_Toc8391" w:history="1">
        <w:r w:rsidR="008853A8">
          <w:rPr>
            <w:rFonts w:ascii="仿宋_GB2312" w:eastAsia="仿宋_GB2312" w:hAnsi="仿宋_GB2312" w:cs="仿宋_GB2312" w:hint="eastAsia"/>
            <w:sz w:val="32"/>
            <w:szCs w:val="32"/>
          </w:rPr>
          <w:t>（三）国有资产占用情况说明</w:t>
        </w:r>
      </w:hyperlink>
    </w:p>
    <w:p w:rsidR="008853A8" w:rsidRDefault="007458BF">
      <w:pPr>
        <w:pStyle w:val="2"/>
        <w:tabs>
          <w:tab w:val="right" w:pos="8306"/>
        </w:tabs>
        <w:ind w:leftChars="0" w:left="0"/>
        <w:rPr>
          <w:rFonts w:ascii="仿宋_GB2312" w:eastAsia="仿宋_GB2312" w:hAnsi="仿宋_GB2312" w:cs="仿宋_GB2312"/>
          <w:sz w:val="32"/>
          <w:szCs w:val="32"/>
        </w:rPr>
      </w:pPr>
      <w:hyperlink w:anchor="_Toc11283" w:history="1">
        <w:r w:rsidR="008853A8">
          <w:rPr>
            <w:rFonts w:ascii="仿宋_GB2312" w:eastAsia="仿宋_GB2312" w:hAnsi="仿宋_GB2312" w:cs="仿宋_GB2312" w:hint="eastAsia"/>
            <w:bCs/>
            <w:kern w:val="0"/>
            <w:sz w:val="32"/>
            <w:szCs w:val="32"/>
          </w:rPr>
          <w:t>十、预算绩效的情况说明</w:t>
        </w:r>
      </w:hyperlink>
    </w:p>
    <w:p w:rsidR="008853A8" w:rsidRDefault="007458BF">
      <w:pPr>
        <w:pStyle w:val="1"/>
        <w:tabs>
          <w:tab w:val="right" w:pos="8306"/>
        </w:tabs>
        <w:rPr>
          <w:rFonts w:ascii="仿宋_GB2312" w:eastAsia="仿宋_GB2312" w:hAnsi="仿宋_GB2312" w:cs="仿宋_GB2312"/>
          <w:b/>
          <w:bCs/>
          <w:sz w:val="32"/>
          <w:szCs w:val="32"/>
        </w:rPr>
      </w:pPr>
      <w:hyperlink w:anchor="_Toc3250" w:history="1">
        <w:r w:rsidR="008853A8">
          <w:rPr>
            <w:rFonts w:ascii="仿宋_GB2312" w:eastAsia="仿宋_GB2312" w:hAnsi="仿宋_GB2312" w:cs="仿宋_GB2312" w:hint="eastAsia"/>
            <w:b/>
            <w:bCs/>
            <w:sz w:val="32"/>
            <w:szCs w:val="32"/>
          </w:rPr>
          <w:t>第三部分 专业名词解释</w:t>
        </w:r>
      </w:hyperlink>
    </w:p>
    <w:p w:rsidR="008853A8" w:rsidRDefault="007458BF">
      <w:pPr>
        <w:pStyle w:val="1"/>
        <w:tabs>
          <w:tab w:val="right" w:pos="8306"/>
        </w:tabs>
        <w:rPr>
          <w:rFonts w:ascii="仿宋_GB2312" w:eastAsia="仿宋_GB2312" w:hAnsi="仿宋_GB2312" w:cs="仿宋_GB2312"/>
          <w:b/>
          <w:bCs/>
          <w:sz w:val="32"/>
          <w:szCs w:val="32"/>
        </w:rPr>
      </w:pPr>
      <w:hyperlink w:anchor="_Toc22784" w:history="1">
        <w:r w:rsidR="008853A8">
          <w:rPr>
            <w:rFonts w:ascii="仿宋_GB2312" w:eastAsia="仿宋_GB2312" w:hAnsi="仿宋_GB2312" w:cs="仿宋_GB2312" w:hint="eastAsia"/>
            <w:b/>
            <w:bCs/>
            <w:sz w:val="32"/>
            <w:szCs w:val="32"/>
          </w:rPr>
          <w:t>第四部分 部门决算报表（见附表）</w:t>
        </w:r>
      </w:hyperlink>
    </w:p>
    <w:p w:rsidR="008853A8" w:rsidRDefault="007458BF">
      <w:pPr>
        <w:pStyle w:val="2"/>
        <w:tabs>
          <w:tab w:val="right" w:pos="8306"/>
        </w:tabs>
        <w:ind w:leftChars="0" w:left="0"/>
        <w:rPr>
          <w:rFonts w:ascii="仿宋_GB2312" w:eastAsia="仿宋_GB2312" w:hAnsi="仿宋_GB2312" w:cs="仿宋_GB2312"/>
          <w:sz w:val="32"/>
          <w:szCs w:val="32"/>
        </w:rPr>
      </w:pPr>
      <w:hyperlink w:anchor="_Toc2183" w:history="1">
        <w:r w:rsidR="008853A8">
          <w:rPr>
            <w:rFonts w:ascii="仿宋_GB2312" w:eastAsia="仿宋_GB2312" w:hAnsi="仿宋_GB2312" w:cs="仿宋_GB2312" w:hint="eastAsia"/>
            <w:bCs/>
            <w:kern w:val="0"/>
            <w:sz w:val="32"/>
            <w:szCs w:val="32"/>
          </w:rPr>
          <w:t>一、《收入支出决算总表》</w:t>
        </w:r>
      </w:hyperlink>
    </w:p>
    <w:p w:rsidR="008853A8" w:rsidRDefault="007458BF">
      <w:pPr>
        <w:pStyle w:val="2"/>
        <w:tabs>
          <w:tab w:val="right" w:pos="8306"/>
        </w:tabs>
        <w:ind w:leftChars="0" w:left="0"/>
        <w:rPr>
          <w:rFonts w:ascii="仿宋_GB2312" w:eastAsia="仿宋_GB2312" w:hAnsi="仿宋_GB2312" w:cs="仿宋_GB2312"/>
          <w:sz w:val="32"/>
          <w:szCs w:val="32"/>
        </w:rPr>
      </w:pPr>
      <w:hyperlink w:anchor="_Toc24532" w:history="1">
        <w:r w:rsidR="008853A8">
          <w:rPr>
            <w:rFonts w:ascii="仿宋_GB2312" w:eastAsia="仿宋_GB2312" w:hAnsi="仿宋_GB2312" w:cs="仿宋_GB2312" w:hint="eastAsia"/>
            <w:bCs/>
            <w:kern w:val="0"/>
            <w:sz w:val="32"/>
            <w:szCs w:val="32"/>
          </w:rPr>
          <w:t>二、《收入决算表》</w:t>
        </w:r>
      </w:hyperlink>
    </w:p>
    <w:p w:rsidR="008853A8" w:rsidRDefault="007458BF">
      <w:pPr>
        <w:pStyle w:val="2"/>
        <w:tabs>
          <w:tab w:val="right" w:pos="8306"/>
        </w:tabs>
        <w:ind w:leftChars="0" w:left="0"/>
        <w:rPr>
          <w:rFonts w:ascii="仿宋_GB2312" w:eastAsia="仿宋_GB2312" w:hAnsi="仿宋_GB2312" w:cs="仿宋_GB2312"/>
          <w:sz w:val="32"/>
          <w:szCs w:val="32"/>
        </w:rPr>
      </w:pPr>
      <w:hyperlink w:anchor="_Toc32434" w:history="1">
        <w:r w:rsidR="008853A8">
          <w:rPr>
            <w:rFonts w:ascii="仿宋_GB2312" w:eastAsia="仿宋_GB2312" w:hAnsi="仿宋_GB2312" w:cs="仿宋_GB2312" w:hint="eastAsia"/>
            <w:bCs/>
            <w:kern w:val="0"/>
            <w:sz w:val="32"/>
            <w:szCs w:val="32"/>
          </w:rPr>
          <w:t>三、《支出决算表》</w:t>
        </w:r>
      </w:hyperlink>
    </w:p>
    <w:p w:rsidR="008853A8" w:rsidRDefault="007458BF">
      <w:pPr>
        <w:pStyle w:val="2"/>
        <w:tabs>
          <w:tab w:val="right" w:pos="8306"/>
        </w:tabs>
        <w:ind w:leftChars="0" w:left="0"/>
        <w:rPr>
          <w:rFonts w:ascii="仿宋_GB2312" w:eastAsia="仿宋_GB2312" w:hAnsi="仿宋_GB2312" w:cs="仿宋_GB2312"/>
          <w:sz w:val="32"/>
          <w:szCs w:val="32"/>
        </w:rPr>
      </w:pPr>
      <w:hyperlink w:anchor="_Toc28786" w:history="1">
        <w:r w:rsidR="008853A8">
          <w:rPr>
            <w:rFonts w:ascii="仿宋_GB2312" w:eastAsia="仿宋_GB2312" w:hAnsi="仿宋_GB2312" w:cs="仿宋_GB2312" w:hint="eastAsia"/>
            <w:bCs/>
            <w:kern w:val="0"/>
            <w:sz w:val="32"/>
            <w:szCs w:val="32"/>
          </w:rPr>
          <w:t>四、《财政拨款收入支出决算总表》</w:t>
        </w:r>
      </w:hyperlink>
    </w:p>
    <w:p w:rsidR="008853A8" w:rsidRDefault="007458BF">
      <w:pPr>
        <w:pStyle w:val="2"/>
        <w:tabs>
          <w:tab w:val="right" w:pos="8306"/>
        </w:tabs>
        <w:ind w:leftChars="0" w:left="0"/>
        <w:rPr>
          <w:rFonts w:ascii="仿宋_GB2312" w:eastAsia="仿宋_GB2312" w:hAnsi="仿宋_GB2312" w:cs="仿宋_GB2312"/>
          <w:sz w:val="32"/>
          <w:szCs w:val="32"/>
        </w:rPr>
      </w:pPr>
      <w:hyperlink w:anchor="_Toc14869" w:history="1">
        <w:r w:rsidR="008853A8">
          <w:rPr>
            <w:rFonts w:ascii="仿宋_GB2312" w:eastAsia="仿宋_GB2312" w:hAnsi="仿宋_GB2312" w:cs="仿宋_GB2312" w:hint="eastAsia"/>
            <w:bCs/>
            <w:kern w:val="0"/>
            <w:sz w:val="32"/>
            <w:szCs w:val="32"/>
          </w:rPr>
          <w:t>五、《一般公共预算财政拨款支出决算表》</w:t>
        </w:r>
      </w:hyperlink>
    </w:p>
    <w:p w:rsidR="008853A8" w:rsidRDefault="007458BF">
      <w:pPr>
        <w:pStyle w:val="2"/>
        <w:tabs>
          <w:tab w:val="right" w:pos="8306"/>
        </w:tabs>
        <w:ind w:leftChars="0" w:left="0"/>
        <w:rPr>
          <w:rFonts w:ascii="仿宋_GB2312" w:eastAsia="仿宋_GB2312" w:hAnsi="仿宋_GB2312" w:cs="仿宋_GB2312"/>
          <w:sz w:val="32"/>
          <w:szCs w:val="32"/>
        </w:rPr>
      </w:pPr>
      <w:hyperlink w:anchor="_Toc8884" w:history="1">
        <w:r w:rsidR="008853A8">
          <w:rPr>
            <w:rFonts w:ascii="仿宋_GB2312" w:eastAsia="仿宋_GB2312" w:hAnsi="仿宋_GB2312" w:cs="仿宋_GB2312" w:hint="eastAsia"/>
            <w:bCs/>
            <w:kern w:val="0"/>
            <w:sz w:val="32"/>
            <w:szCs w:val="32"/>
          </w:rPr>
          <w:t>六、《一般公共预算财政拨款基本支出决算表》</w:t>
        </w:r>
      </w:hyperlink>
    </w:p>
    <w:p w:rsidR="008853A8" w:rsidRDefault="007458BF">
      <w:pPr>
        <w:pStyle w:val="2"/>
        <w:tabs>
          <w:tab w:val="right" w:pos="8306"/>
        </w:tabs>
        <w:ind w:leftChars="0" w:left="0"/>
        <w:rPr>
          <w:rFonts w:ascii="仿宋_GB2312" w:eastAsia="仿宋_GB2312" w:hAnsi="仿宋_GB2312" w:cs="仿宋_GB2312"/>
          <w:sz w:val="32"/>
          <w:szCs w:val="32"/>
        </w:rPr>
      </w:pPr>
      <w:hyperlink w:anchor="_Toc29106" w:history="1">
        <w:r w:rsidR="008853A8">
          <w:rPr>
            <w:rFonts w:ascii="仿宋_GB2312" w:eastAsia="仿宋_GB2312" w:hAnsi="仿宋_GB2312" w:cs="仿宋_GB2312" w:hint="eastAsia"/>
            <w:bCs/>
            <w:kern w:val="0"/>
            <w:sz w:val="32"/>
            <w:szCs w:val="32"/>
          </w:rPr>
          <w:t>七、《一般公共预算财政拨款“三公”经费支出决算表》</w:t>
        </w:r>
      </w:hyperlink>
    </w:p>
    <w:p w:rsidR="008853A8" w:rsidRDefault="007458BF">
      <w:pPr>
        <w:pStyle w:val="2"/>
        <w:tabs>
          <w:tab w:val="right" w:pos="8306"/>
        </w:tabs>
        <w:ind w:leftChars="0" w:left="0"/>
        <w:rPr>
          <w:rFonts w:ascii="仿宋_GB2312" w:eastAsia="仿宋_GB2312" w:hAnsi="仿宋_GB2312" w:cs="仿宋_GB2312"/>
          <w:sz w:val="32"/>
          <w:szCs w:val="32"/>
        </w:rPr>
      </w:pPr>
      <w:hyperlink w:anchor="_Toc7643" w:history="1">
        <w:r w:rsidR="008853A8">
          <w:rPr>
            <w:rFonts w:ascii="仿宋_GB2312" w:eastAsia="仿宋_GB2312" w:hAnsi="仿宋_GB2312" w:cs="仿宋_GB2312" w:hint="eastAsia"/>
            <w:bCs/>
            <w:kern w:val="0"/>
            <w:sz w:val="32"/>
            <w:szCs w:val="32"/>
          </w:rPr>
          <w:t>八、《政府性基金预算财政拨款收入支出决算表》</w:t>
        </w:r>
      </w:hyperlink>
    </w:p>
    <w:p w:rsidR="008853A8" w:rsidRDefault="007458BF">
      <w:r>
        <w:rPr>
          <w:rFonts w:ascii="仿宋_GB2312" w:eastAsia="仿宋_GB2312" w:hAnsi="仿宋_GB2312" w:cs="仿宋_GB2312" w:hint="eastAsia"/>
          <w:sz w:val="32"/>
          <w:szCs w:val="32"/>
        </w:rPr>
        <w:fldChar w:fldCharType="end"/>
      </w:r>
    </w:p>
    <w:p w:rsidR="008853A8" w:rsidRDefault="008853A8">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0" w:name="_Toc24028"/>
      <w:bookmarkStart w:id="1" w:name="_Toc32314"/>
      <w:r>
        <w:rPr>
          <w:rFonts w:ascii="黑体" w:eastAsia="黑体" w:hAnsi="黑体" w:hint="eastAsia"/>
          <w:sz w:val="32"/>
          <w:szCs w:val="32"/>
        </w:rPr>
        <w:lastRenderedPageBreak/>
        <w:t>第一部分 部门单位概况</w:t>
      </w:r>
      <w:bookmarkEnd w:id="0"/>
      <w:bookmarkEnd w:id="1"/>
    </w:p>
    <w:p w:rsidR="008853A8" w:rsidRDefault="008853A8">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rsidR="00471BBD" w:rsidRDefault="00AE6C82" w:rsidP="00725755">
      <w:pPr>
        <w:rPr>
          <w:rFonts w:ascii="仿宋_GB2312" w:eastAsia="仿宋_GB2312"/>
          <w:sz w:val="32"/>
          <w:szCs w:val="32"/>
        </w:rPr>
      </w:pPr>
      <w:r>
        <w:rPr>
          <w:rFonts w:ascii="仿宋_GB2312" w:eastAsia="仿宋_GB2312" w:hAnsi="仿宋_GB2312" w:cs="仿宋_GB2312"/>
          <w:sz w:val="32"/>
        </w:rPr>
        <w:t xml:space="preserve">    1、承担农民专业合作社、家庭农场、大户规范建立、运</w:t>
      </w:r>
      <w:r w:rsidR="00756C5C">
        <w:rPr>
          <w:rFonts w:ascii="仿宋_GB2312" w:eastAsia="仿宋_GB2312" w:hAnsi="仿宋_GB2312" w:cs="仿宋_GB2312"/>
          <w:sz w:val="32"/>
        </w:rPr>
        <w:t>作及人才培育，组织开展示范性农民专业合作社、家庭农场评定和监测</w:t>
      </w:r>
      <w:r w:rsidR="00756C5C">
        <w:rPr>
          <w:rFonts w:ascii="仿宋_GB2312" w:eastAsia="仿宋_GB2312" w:hAnsi="仿宋_GB2312" w:cs="仿宋_GB2312" w:hint="eastAsia"/>
          <w:sz w:val="32"/>
        </w:rPr>
        <w:t>。</w:t>
      </w:r>
      <w:r>
        <w:rPr>
          <w:rFonts w:ascii="仿宋_GB2312" w:eastAsia="仿宋_GB2312" w:hAnsi="仿宋_GB2312" w:cs="仿宋_GB2312"/>
          <w:sz w:val="32"/>
        </w:rPr>
        <w:t>2</w:t>
      </w:r>
      <w:r w:rsidR="00756C5C">
        <w:rPr>
          <w:rFonts w:ascii="仿宋_GB2312" w:eastAsia="仿宋_GB2312" w:hAnsi="仿宋_GB2312" w:cs="仿宋_GB2312"/>
          <w:sz w:val="32"/>
        </w:rPr>
        <w:t>、开展农业社会化服务体系建设，指导农业生产性服务组织规范发展</w:t>
      </w:r>
      <w:r w:rsidR="00756C5C">
        <w:rPr>
          <w:rFonts w:ascii="仿宋_GB2312" w:eastAsia="仿宋_GB2312" w:hAnsi="仿宋_GB2312" w:cs="仿宋_GB2312" w:hint="eastAsia"/>
          <w:sz w:val="32"/>
        </w:rPr>
        <w:t>。</w:t>
      </w:r>
      <w:r>
        <w:rPr>
          <w:rFonts w:ascii="仿宋_GB2312" w:eastAsia="仿宋_GB2312" w:hAnsi="仿宋_GB2312" w:cs="仿宋_GB2312"/>
          <w:sz w:val="32"/>
        </w:rPr>
        <w:t>3</w:t>
      </w:r>
      <w:r w:rsidR="00756C5C">
        <w:rPr>
          <w:rFonts w:ascii="仿宋_GB2312" w:eastAsia="仿宋_GB2312" w:hAnsi="仿宋_GB2312" w:cs="仿宋_GB2312"/>
          <w:sz w:val="32"/>
        </w:rPr>
        <w:t>、提出培育新型农业经营主体、健全新型农业经营体系的指导措施</w:t>
      </w:r>
      <w:r w:rsidR="00756C5C">
        <w:rPr>
          <w:rFonts w:ascii="仿宋_GB2312" w:eastAsia="仿宋_GB2312" w:hAnsi="仿宋_GB2312" w:cs="仿宋_GB2312" w:hint="eastAsia"/>
          <w:sz w:val="32"/>
        </w:rPr>
        <w:t>。</w:t>
      </w:r>
      <w:r>
        <w:rPr>
          <w:rFonts w:ascii="仿宋_GB2312" w:eastAsia="仿宋_GB2312" w:hAnsi="仿宋_GB2312" w:cs="仿宋_GB2312"/>
          <w:sz w:val="32"/>
        </w:rPr>
        <w:t>4、承担全地区农村土地经营权流转指导服务工作。5、承担农民承包地改革指导服务、农村集体产权制度改革指导服务和信访工作。      6</w:t>
      </w:r>
      <w:r w:rsidR="00756C5C">
        <w:rPr>
          <w:rFonts w:ascii="仿宋_GB2312" w:eastAsia="仿宋_GB2312" w:hAnsi="仿宋_GB2312" w:cs="仿宋_GB2312"/>
          <w:sz w:val="32"/>
        </w:rPr>
        <w:t>、承担农村集体经济组织登记赋码和规范化建设</w:t>
      </w:r>
      <w:r w:rsidR="00756C5C">
        <w:rPr>
          <w:rFonts w:ascii="仿宋_GB2312" w:eastAsia="仿宋_GB2312" w:hAnsi="仿宋_GB2312" w:cs="仿宋_GB2312" w:hint="eastAsia"/>
          <w:sz w:val="32"/>
        </w:rPr>
        <w:t>。</w:t>
      </w:r>
      <w:r>
        <w:rPr>
          <w:rFonts w:ascii="仿宋_GB2312" w:eastAsia="仿宋_GB2312" w:hAnsi="仿宋_GB2312" w:cs="仿宋_GB2312"/>
          <w:sz w:val="32"/>
        </w:rPr>
        <w:t>7、承</w:t>
      </w:r>
      <w:r w:rsidR="00756C5C">
        <w:rPr>
          <w:rFonts w:ascii="仿宋_GB2312" w:eastAsia="仿宋_GB2312" w:hAnsi="仿宋_GB2312" w:cs="仿宋_GB2312"/>
          <w:sz w:val="32"/>
        </w:rPr>
        <w:t>担农村宅基地分配、使用、流转、纠纷调节和合理布局、用地标准工作</w:t>
      </w:r>
      <w:r w:rsidR="00756C5C">
        <w:rPr>
          <w:rFonts w:ascii="仿宋_GB2312" w:eastAsia="仿宋_GB2312" w:hAnsi="仿宋_GB2312" w:cs="仿宋_GB2312" w:hint="eastAsia"/>
          <w:sz w:val="32"/>
        </w:rPr>
        <w:t>。</w:t>
      </w:r>
      <w:r>
        <w:rPr>
          <w:rFonts w:ascii="仿宋_GB2312" w:eastAsia="仿宋_GB2312" w:hAnsi="仿宋_GB2312" w:cs="仿宋_GB2312"/>
          <w:sz w:val="32"/>
        </w:rPr>
        <w:t>8、承担闲置宅基地和闲置农房合理利用工作。      9、指导农村集体资产和财务管理。10、指导农村集体财务会计业务和经济审计工作。11、承担农村经营管理信息化平台建设、运行和维护工作。12、收集、整理农村经营管理统计数据。13、承担全地区农村经济收益分配统计汇总工作。      14、承担农村合作经济发展相关业务培训工作。15、完成地区农业农村局交办的其他任务。</w:t>
      </w:r>
    </w:p>
    <w:p w:rsidR="008853A8" w:rsidRDefault="008853A8">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rsidR="001F777A" w:rsidRPr="001F777A" w:rsidRDefault="001F777A" w:rsidP="001F777A">
      <w:pPr>
        <w:ind w:firstLineChars="200" w:firstLine="640"/>
      </w:pPr>
      <w:r>
        <w:rPr>
          <w:rFonts w:ascii="仿宋_GB2312" w:eastAsia="仿宋_GB2312" w:hAnsi="仿宋_GB2312" w:cs="仿宋_GB2312"/>
          <w:sz w:val="32"/>
        </w:rPr>
        <w:t>新疆喀什地区农村合作经济经营管理局2019年度，实有人数23人，其中：在职人员15人，离休人员0人，退休人员8人。</w:t>
      </w:r>
    </w:p>
    <w:p w:rsidR="00862395" w:rsidRDefault="00862395" w:rsidP="00862395">
      <w:pPr>
        <w:ind w:firstLineChars="200" w:firstLine="640"/>
        <w:rPr>
          <w:rFonts w:ascii="仿宋_GB2312" w:eastAsia="仿宋_GB2312"/>
          <w:sz w:val="32"/>
          <w:szCs w:val="32"/>
        </w:rPr>
      </w:pPr>
      <w:r>
        <w:rPr>
          <w:rFonts w:ascii="仿宋_GB2312" w:eastAsia="仿宋_GB2312" w:hAnsi="仿宋_GB2312" w:cs="仿宋_GB2312"/>
          <w:sz w:val="32"/>
        </w:rPr>
        <w:lastRenderedPageBreak/>
        <w:t>从部门决算单位构成看，新疆喀什地区农村合作经济经营管理局部门决算包括：新疆喀什地区农村合作经济经营管理局决算。</w:t>
      </w:r>
    </w:p>
    <w:p w:rsidR="008853A8" w:rsidRDefault="008853A8">
      <w:pPr>
        <w:ind w:firstLineChars="200" w:firstLine="640"/>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t>第二部分 部门决算情况说明</w:t>
      </w:r>
      <w:bookmarkEnd w:id="6"/>
      <w:bookmarkEnd w:id="7"/>
    </w:p>
    <w:p w:rsidR="008853A8" w:rsidRDefault="008853A8">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rsidR="008853A8" w:rsidRDefault="007E3BFD">
      <w:pPr>
        <w:ind w:firstLineChars="200" w:firstLine="640"/>
        <w:rPr>
          <w:rFonts w:ascii="仿宋_GB2312" w:eastAsia="仿宋_GB2312"/>
          <w:sz w:val="32"/>
          <w:szCs w:val="32"/>
        </w:rPr>
      </w:pPr>
      <w:r>
        <w:rPr>
          <w:rFonts w:ascii="仿宋_GB2312" w:eastAsia="仿宋_GB2312" w:hAnsi="仿宋_GB2312" w:cs="仿宋_GB2312"/>
          <w:sz w:val="32"/>
        </w:rPr>
        <w:t>2019年度本年收入325.87万元，与上年相比，增加20.94万元，增长6.87%，主要原因是：2名特殊人员返岗，补发两年工资津贴、住房公积金以及机关事业养老保险、在职和退休职工的基本医疗保险、公务员医疗保障、其他社会保障等支出。本年支出325.87万元，与上年相比，增加20.94万元，增长6.87%，主要原因是：2名特殊人员返岗，补发两年工资津贴、住房公积金以及机关事业养老保险、在职和退休职工的基本医疗保险、公务员医疗保障、其他社会保障等支出。</w:t>
      </w:r>
    </w:p>
    <w:p w:rsidR="008853A8" w:rsidRDefault="008853A8">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rsidR="008853A8" w:rsidRDefault="00125A6F">
      <w:pPr>
        <w:ind w:firstLineChars="200" w:firstLine="640"/>
        <w:rPr>
          <w:rFonts w:ascii="仿宋_GB2312" w:eastAsia="仿宋_GB2312"/>
          <w:sz w:val="32"/>
          <w:szCs w:val="32"/>
        </w:rPr>
      </w:pPr>
      <w:r>
        <w:rPr>
          <w:rFonts w:ascii="仿宋_GB2312" w:eastAsia="仿宋_GB2312" w:hAnsi="仿宋_GB2312" w:cs="仿宋_GB2312"/>
          <w:sz w:val="32"/>
        </w:rPr>
        <w:t>2019年度本年收入325.87万元，其中：财政拨款收入325.87万元，占100%；上级补助收入0万元，占0%；事业收入0万元，占0%；经营收入0万元，占0%；附属单位上缴收入0万元，占0%；其他收入0万元，占0%。</w:t>
      </w:r>
    </w:p>
    <w:p w:rsidR="008853A8" w:rsidRDefault="008853A8">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rsidR="008853A8" w:rsidRDefault="00233021">
      <w:pPr>
        <w:ind w:firstLineChars="200" w:firstLine="640"/>
        <w:rPr>
          <w:rFonts w:ascii="仿宋_GB2312" w:eastAsia="仿宋_GB2312"/>
          <w:sz w:val="32"/>
          <w:szCs w:val="32"/>
        </w:rPr>
      </w:pPr>
      <w:r>
        <w:rPr>
          <w:rFonts w:ascii="仿宋_GB2312" w:eastAsia="仿宋_GB2312" w:hAnsi="仿宋_GB2312" w:cs="仿宋_GB2312"/>
          <w:sz w:val="32"/>
        </w:rPr>
        <w:t>2019年度本年支出325.87万元，其中：基本支出278.96万元，占85.6%；项目支出46.91万元，占14.4%；</w:t>
      </w:r>
      <w:r>
        <w:rPr>
          <w:rFonts w:ascii="仿宋_GB2312" w:eastAsia="仿宋_GB2312" w:hAnsi="仿宋_GB2312" w:cs="仿宋_GB2312"/>
          <w:sz w:val="32"/>
        </w:rPr>
        <w:lastRenderedPageBreak/>
        <w:t>上缴上级支出0万元，占0%；经营支出0万元，占0%；对附属单位补助支出0万元，占0%。</w:t>
      </w:r>
    </w:p>
    <w:p w:rsidR="008853A8" w:rsidRDefault="008853A8">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rsidR="008853A8" w:rsidRPr="001848EE" w:rsidRDefault="001C2D35">
      <w:pPr>
        <w:ind w:firstLineChars="200" w:firstLine="640"/>
        <w:rPr>
          <w:rFonts w:ascii="仿宋_GB2312" w:eastAsia="仿宋_GB2312"/>
          <w:sz w:val="32"/>
          <w:szCs w:val="32"/>
        </w:rPr>
      </w:pPr>
      <w:r>
        <w:rPr>
          <w:rFonts w:ascii="仿宋_GB2312" w:eastAsia="仿宋_GB2312" w:hAnsi="仿宋_GB2312" w:cs="仿宋_GB2312"/>
          <w:sz w:val="32"/>
        </w:rPr>
        <w:t>2019年度财政拨款收入325.87万元，与上年相比，增加20.94万元，增长6.87%，主要原因是：2名特殊人员返岗，补发两年工资津贴、住房公积金以及机关事业养老保险、在职和退休职工的基本医疗保险、公务员医疗保障、其他社会保障等支出。财政拨款支出325.87万元，与上年相比，增加20.94万元，增长6.87%，主要原因是：2名特殊人员返岗，补发两年工资津贴、住房公积金以及机关事业养老保险、在职和退休职工的基本医疗保险、公务员医疗保障、其他社会保障等支出。</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与年初预算数相比情况：财政拨款收入年初预算数301.41万元，决算数325.87万元，预决算差异率8.12%，主要原因是：2名特殊人员返岗，补发两年工资津贴、住房公积金以及机关事业养老保险、在职和退休职工的基本医疗保险、公务员医疗保障、其他社会保障等支出。财政拨款支出年初预算数334.41万元，决算数325.87万元，预决算差异率-2.55%，主要原因是：结转预算支出33万实际执行25.3万元，剩余资金未执行完毕，财政已收回。</w:t>
      </w:r>
    </w:p>
    <w:p w:rsidR="008853A8" w:rsidRDefault="008853A8">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rsidR="008853A8" w:rsidRDefault="005529D0">
      <w:pPr>
        <w:ind w:firstLineChars="200" w:firstLine="640"/>
        <w:rPr>
          <w:rFonts w:ascii="仿宋_GB2312" w:eastAsia="仿宋_GB2312"/>
          <w:sz w:val="32"/>
          <w:szCs w:val="32"/>
        </w:rPr>
      </w:pPr>
      <w:r>
        <w:rPr>
          <w:rFonts w:ascii="仿宋_GB2312" w:eastAsia="仿宋_GB2312" w:hAnsi="仿宋_GB2312" w:cs="仿宋_GB2312"/>
          <w:sz w:val="32"/>
        </w:rPr>
        <w:t>2019年度一般公共预算财政拨款支出325.87万元。按</w:t>
      </w:r>
      <w:r>
        <w:rPr>
          <w:rFonts w:ascii="仿宋_GB2312" w:eastAsia="仿宋_GB2312" w:hAnsi="仿宋_GB2312" w:cs="仿宋_GB2312"/>
          <w:sz w:val="32"/>
        </w:rPr>
        <w:lastRenderedPageBreak/>
        <w:t>功能分类科目项级科目公开，其中：</w:t>
      </w:r>
    </w:p>
    <w:p w:rsidR="007458BF" w:rsidRDefault="00E53C7E">
      <w:pPr>
        <w:ind w:firstLine="480"/>
      </w:pPr>
      <w:r>
        <w:rPr>
          <w:rFonts w:ascii="仿宋_GB2312" w:eastAsia="仿宋_GB2312" w:hAnsi="仿宋_GB2312" w:cs="仿宋_GB2312"/>
          <w:sz w:val="32"/>
        </w:rPr>
        <w:t xml:space="preserve">   2299901</w:t>
      </w:r>
      <w:r>
        <w:rPr>
          <w:rFonts w:ascii="仿宋_GB2312" w:eastAsia="仿宋_GB2312" w:hAnsi="仿宋_GB2312" w:cs="仿宋_GB2312"/>
          <w:sz w:val="32"/>
        </w:rPr>
        <w:t>其他支出</w:t>
      </w:r>
      <w:r>
        <w:rPr>
          <w:rFonts w:ascii="仿宋_GB2312" w:eastAsia="仿宋_GB2312" w:hAnsi="仿宋_GB2312" w:cs="仿宋_GB2312"/>
          <w:sz w:val="32"/>
        </w:rPr>
        <w:t>7</w:t>
      </w:r>
      <w:r>
        <w:rPr>
          <w:rFonts w:ascii="仿宋_GB2312" w:eastAsia="仿宋_GB2312" w:hAnsi="仿宋_GB2312" w:cs="仿宋_GB2312"/>
          <w:sz w:val="32"/>
        </w:rPr>
        <w:t>万元。</w:t>
      </w:r>
    </w:p>
    <w:p w:rsidR="007458BF" w:rsidRDefault="00E53C7E">
      <w:pPr>
        <w:ind w:firstLine="480"/>
      </w:pPr>
      <w:r>
        <w:rPr>
          <w:rFonts w:ascii="仿宋_GB2312" w:eastAsia="仿宋_GB2312" w:hAnsi="仿宋_GB2312" w:cs="仿宋_GB2312"/>
          <w:sz w:val="32"/>
        </w:rPr>
        <w:t xml:space="preserve">   2210201</w:t>
      </w:r>
      <w:r>
        <w:rPr>
          <w:rFonts w:ascii="仿宋_GB2312" w:eastAsia="仿宋_GB2312" w:hAnsi="仿宋_GB2312" w:cs="仿宋_GB2312"/>
          <w:sz w:val="32"/>
        </w:rPr>
        <w:t>住房公积金支出</w:t>
      </w:r>
      <w:r>
        <w:rPr>
          <w:rFonts w:ascii="仿宋_GB2312" w:eastAsia="仿宋_GB2312" w:hAnsi="仿宋_GB2312" w:cs="仿宋_GB2312"/>
          <w:sz w:val="32"/>
        </w:rPr>
        <w:t>18.73</w:t>
      </w:r>
      <w:r>
        <w:rPr>
          <w:rFonts w:ascii="仿宋_GB2312" w:eastAsia="仿宋_GB2312" w:hAnsi="仿宋_GB2312" w:cs="仿宋_GB2312"/>
          <w:sz w:val="32"/>
        </w:rPr>
        <w:t>万元；</w:t>
      </w:r>
    </w:p>
    <w:p w:rsidR="007458BF" w:rsidRDefault="00E53C7E">
      <w:pPr>
        <w:ind w:firstLine="480"/>
      </w:pPr>
      <w:r>
        <w:rPr>
          <w:rFonts w:ascii="仿宋_GB2312" w:eastAsia="仿宋_GB2312" w:hAnsi="仿宋_GB2312" w:cs="仿宋_GB2312"/>
          <w:sz w:val="32"/>
        </w:rPr>
        <w:t xml:space="preserve">   2130199</w:t>
      </w:r>
      <w:r>
        <w:rPr>
          <w:rFonts w:ascii="仿宋_GB2312" w:eastAsia="仿宋_GB2312" w:hAnsi="仿宋_GB2312" w:cs="仿宋_GB2312"/>
          <w:sz w:val="32"/>
        </w:rPr>
        <w:t>其他农业支出</w:t>
      </w:r>
      <w:r>
        <w:rPr>
          <w:rFonts w:ascii="仿宋_GB2312" w:eastAsia="仿宋_GB2312" w:hAnsi="仿宋_GB2312" w:cs="仿宋_GB2312"/>
          <w:sz w:val="32"/>
        </w:rPr>
        <w:t>33.80</w:t>
      </w:r>
      <w:r>
        <w:rPr>
          <w:rFonts w:ascii="仿宋_GB2312" w:eastAsia="仿宋_GB2312" w:hAnsi="仿宋_GB2312" w:cs="仿宋_GB2312"/>
          <w:sz w:val="32"/>
        </w:rPr>
        <w:t>万元；</w:t>
      </w:r>
    </w:p>
    <w:p w:rsidR="007458BF" w:rsidRDefault="00E53C7E">
      <w:pPr>
        <w:ind w:firstLine="480"/>
      </w:pPr>
      <w:r>
        <w:rPr>
          <w:rFonts w:ascii="仿宋_GB2312" w:eastAsia="仿宋_GB2312" w:hAnsi="仿宋_GB2312" w:cs="仿宋_GB2312"/>
          <w:sz w:val="32"/>
        </w:rPr>
        <w:t xml:space="preserve">   2130102</w:t>
      </w:r>
      <w:r>
        <w:rPr>
          <w:rFonts w:ascii="仿宋_GB2312" w:eastAsia="仿宋_GB2312" w:hAnsi="仿宋_GB2312" w:cs="仿宋_GB2312"/>
          <w:sz w:val="32"/>
        </w:rPr>
        <w:t>一般行政管理事务支出</w:t>
      </w:r>
      <w:r>
        <w:rPr>
          <w:rFonts w:ascii="仿宋_GB2312" w:eastAsia="仿宋_GB2312" w:hAnsi="仿宋_GB2312" w:cs="仿宋_GB2312"/>
          <w:sz w:val="32"/>
        </w:rPr>
        <w:t>6.11</w:t>
      </w:r>
      <w:r>
        <w:rPr>
          <w:rFonts w:ascii="仿宋_GB2312" w:eastAsia="仿宋_GB2312" w:hAnsi="仿宋_GB2312" w:cs="仿宋_GB2312"/>
          <w:sz w:val="32"/>
        </w:rPr>
        <w:t>万元；</w:t>
      </w:r>
    </w:p>
    <w:p w:rsidR="007458BF" w:rsidRDefault="00E53C7E">
      <w:pPr>
        <w:ind w:firstLine="480"/>
      </w:pPr>
      <w:r>
        <w:rPr>
          <w:rFonts w:ascii="仿宋_GB2312" w:eastAsia="仿宋_GB2312" w:hAnsi="仿宋_GB2312" w:cs="仿宋_GB2312"/>
          <w:sz w:val="32"/>
        </w:rPr>
        <w:t xml:space="preserve">   2130101</w:t>
      </w:r>
      <w:r>
        <w:rPr>
          <w:rFonts w:ascii="仿宋_GB2312" w:eastAsia="仿宋_GB2312" w:hAnsi="仿宋_GB2312" w:cs="仿宋_GB2312"/>
          <w:sz w:val="32"/>
        </w:rPr>
        <w:t>行政运行支出</w:t>
      </w:r>
      <w:r>
        <w:rPr>
          <w:rFonts w:ascii="仿宋_GB2312" w:eastAsia="仿宋_GB2312" w:hAnsi="仿宋_GB2312" w:cs="仿宋_GB2312"/>
          <w:sz w:val="32"/>
        </w:rPr>
        <w:t>229.84</w:t>
      </w:r>
      <w:r>
        <w:rPr>
          <w:rFonts w:ascii="仿宋_GB2312" w:eastAsia="仿宋_GB2312" w:hAnsi="仿宋_GB2312" w:cs="仿宋_GB2312"/>
          <w:sz w:val="32"/>
        </w:rPr>
        <w:t>万元；</w:t>
      </w:r>
    </w:p>
    <w:p w:rsidR="007458BF" w:rsidRDefault="00E53C7E">
      <w:pPr>
        <w:ind w:firstLine="480"/>
      </w:pPr>
      <w:r>
        <w:rPr>
          <w:rFonts w:ascii="仿宋_GB2312" w:eastAsia="仿宋_GB2312" w:hAnsi="仿宋_GB2312" w:cs="仿宋_GB2312"/>
          <w:sz w:val="32"/>
        </w:rPr>
        <w:t xml:space="preserve">   2080506</w:t>
      </w:r>
      <w:r>
        <w:rPr>
          <w:rFonts w:ascii="仿宋_GB2312" w:eastAsia="仿宋_GB2312" w:hAnsi="仿宋_GB2312" w:cs="仿宋_GB2312"/>
          <w:sz w:val="32"/>
        </w:rPr>
        <w:t>机关事业单位职业年金缴费支出</w:t>
      </w:r>
      <w:r>
        <w:rPr>
          <w:rFonts w:ascii="仿宋_GB2312" w:eastAsia="仿宋_GB2312" w:hAnsi="仿宋_GB2312" w:cs="仿宋_GB2312"/>
          <w:sz w:val="32"/>
        </w:rPr>
        <w:t>3.28</w:t>
      </w:r>
      <w:r>
        <w:rPr>
          <w:rFonts w:ascii="仿宋_GB2312" w:eastAsia="仿宋_GB2312" w:hAnsi="仿宋_GB2312" w:cs="仿宋_GB2312"/>
          <w:sz w:val="32"/>
        </w:rPr>
        <w:t>万元；</w:t>
      </w:r>
    </w:p>
    <w:p w:rsidR="007458BF" w:rsidRDefault="00E53C7E">
      <w:pPr>
        <w:ind w:firstLine="480"/>
      </w:pPr>
      <w:r>
        <w:rPr>
          <w:rFonts w:ascii="仿宋_GB2312" w:eastAsia="仿宋_GB2312" w:hAnsi="仿宋_GB2312" w:cs="仿宋_GB2312"/>
          <w:sz w:val="32"/>
        </w:rPr>
        <w:t xml:space="preserve">   2080505</w:t>
      </w:r>
      <w:r>
        <w:rPr>
          <w:rFonts w:ascii="仿宋_GB2312" w:eastAsia="仿宋_GB2312" w:hAnsi="仿宋_GB2312" w:cs="仿宋_GB2312"/>
          <w:sz w:val="32"/>
        </w:rPr>
        <w:t>机关事业单位基本养老保险缴费支出</w:t>
      </w:r>
      <w:r>
        <w:rPr>
          <w:rFonts w:ascii="仿宋_GB2312" w:eastAsia="仿宋_GB2312" w:hAnsi="仿宋_GB2312" w:cs="仿宋_GB2312"/>
          <w:sz w:val="32"/>
        </w:rPr>
        <w:t>27.11</w:t>
      </w:r>
      <w:r>
        <w:rPr>
          <w:rFonts w:ascii="仿宋_GB2312" w:eastAsia="仿宋_GB2312" w:hAnsi="仿宋_GB2312" w:cs="仿宋_GB2312"/>
          <w:sz w:val="32"/>
        </w:rPr>
        <w:t>万元；</w:t>
      </w:r>
    </w:p>
    <w:p w:rsidR="008853A8" w:rsidRDefault="008853A8">
      <w:pPr>
        <w:ind w:firstLineChars="200" w:firstLine="640"/>
        <w:outlineLvl w:val="1"/>
        <w:rPr>
          <w:rFonts w:ascii="黑体" w:eastAsia="黑体" w:hAnsi="黑体" w:cs="宋体"/>
          <w:bCs/>
          <w:kern w:val="0"/>
          <w:sz w:val="32"/>
          <w:szCs w:val="32"/>
        </w:rPr>
      </w:pPr>
      <w:bookmarkStart w:id="18" w:name="_Toc11146"/>
      <w:bookmarkStart w:id="19" w:name="_Toc30870"/>
      <w:r>
        <w:rPr>
          <w:rFonts w:ascii="黑体" w:eastAsia="黑体" w:hAnsi="黑体" w:cs="宋体" w:hint="eastAsia"/>
          <w:bCs/>
          <w:kern w:val="0"/>
          <w:sz w:val="32"/>
          <w:szCs w:val="32"/>
        </w:rPr>
        <w:t>六、一般公共预算财政拨款基本支出决算情况说明</w:t>
      </w:r>
      <w:bookmarkEnd w:id="18"/>
      <w:bookmarkEnd w:id="19"/>
    </w:p>
    <w:p w:rsidR="008853A8" w:rsidRDefault="005B1DE6">
      <w:pPr>
        <w:ind w:firstLineChars="200" w:firstLine="640"/>
        <w:rPr>
          <w:rFonts w:ascii="仿宋_GB2312" w:eastAsia="仿宋_GB2312"/>
          <w:sz w:val="32"/>
          <w:szCs w:val="32"/>
        </w:rPr>
      </w:pPr>
      <w:r>
        <w:rPr>
          <w:rFonts w:ascii="仿宋_GB2312" w:eastAsia="仿宋_GB2312" w:hAnsi="仿宋_GB2312" w:cs="仿宋_GB2312"/>
          <w:sz w:val="32"/>
        </w:rPr>
        <w:t>2019年度一般公共预算财政拨款基本支出278.96万元，其中：</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人员经费269.10万元，包括：基本工资、津贴补贴、奖金、机关事业单位基本养老保险缴费、职业年金缴费、职工基本医疗保险缴费、公务员医疗补助缴费、其他社会保障缴费、住房公积金、退休费、生活补助、奖励金。</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公用经费9.86万元，包括：办公费、邮电费、差旅费、劳务费、公务用车运行维护费、其他商品和服务支出。</w:t>
      </w:r>
    </w:p>
    <w:p w:rsidR="008853A8" w:rsidRDefault="008853A8">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t>七、一般公共预算财政拨款“三公”经费支出决算情况说明</w:t>
      </w:r>
      <w:bookmarkEnd w:id="20"/>
      <w:bookmarkEnd w:id="21"/>
    </w:p>
    <w:p w:rsidR="008853A8" w:rsidRDefault="00340AE7">
      <w:pPr>
        <w:ind w:firstLineChars="200" w:firstLine="640"/>
        <w:rPr>
          <w:rFonts w:ascii="仿宋_GB2312" w:eastAsia="仿宋_GB2312"/>
          <w:sz w:val="32"/>
          <w:szCs w:val="32"/>
        </w:rPr>
      </w:pPr>
      <w:r>
        <w:rPr>
          <w:rFonts w:ascii="仿宋_GB2312" w:eastAsia="仿宋_GB2312" w:hAnsi="仿宋_GB2312" w:cs="仿宋_GB2312"/>
          <w:sz w:val="32"/>
        </w:rPr>
        <w:t>2019年度一般公共预算“三公”经费支出决算1.80万元，比上年增加0万元，增长0%，主要原因是与上年相比</w:t>
      </w:r>
      <w:r>
        <w:rPr>
          <w:rFonts w:ascii="仿宋_GB2312" w:eastAsia="仿宋_GB2312" w:hAnsi="仿宋_GB2312" w:cs="仿宋_GB2312"/>
          <w:sz w:val="32"/>
        </w:rPr>
        <w:lastRenderedPageBreak/>
        <w:t>无变动，与上年一致。其中，因公出国（境）费支出0万元，占0%，比上年增加0万元，增长0%，主要原因是与上年相比无变动，与上年一致；公务用车购置及运行维护费支出1.80万元，占100%，比上年增加0万元，增长0%，主要原因是与上年相比无变动，与上年一致；公务接待费支出0万元，占0%，比上年增加0万元，增长0%，主要原因是与上年相比无变动，与上年一致。具体情况如下：</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因公出国（境）费支出0万元，开支内容包括：预算未安排，无此项支出。单位全年安排的因公出国（境）团组0个，因公出国（境）0人次。</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公务用车购置及运行维护费1.80万元，其中，公务用车购置费0万元，公务用车运行维护费1.80万元。公务用车运行维护费开支内容包括汽车加油费、汽车维修费、车辆保险、过路费。公务用车购置数0辆，公务用车保有量1辆。</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公务接待费0万元，开支内容包括预算未安排，无此项支出。单位全年安排的国内公务接待0批次，0人次。</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与年初预算数相比情况：一般公共预算“三公”经费支出年初预算数1.80万元，决算数1.80万元，预决算差异率0%，主要原因是：严格按照预算安排执行，无变动。其中：因公出国（境）费预算数0万元，决算数0万元，预决算差异率0%，主要原因是：预算未安排，无此项支出；公务用车购置费预算数0万元，决算数0万元，预决算差异率0%，</w:t>
      </w:r>
      <w:r>
        <w:rPr>
          <w:rFonts w:ascii="仿宋_GB2312" w:eastAsia="仿宋_GB2312" w:hAnsi="仿宋_GB2312" w:cs="仿宋_GB2312"/>
          <w:sz w:val="32"/>
        </w:rPr>
        <w:lastRenderedPageBreak/>
        <w:t>主要原因是：预算未安排，无此项支出；公务用车运行费预算数1.80万元，决算数1.80万元，预决算差异率0%，主要原因是：严格按照预算安排执行，无变动；公务接待费预算数0万元，决算数0万元，预决算差异率0%，主要原因是：预算未安排，无此项支出。</w:t>
      </w:r>
    </w:p>
    <w:p w:rsidR="008853A8" w:rsidRDefault="008853A8">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八、政府性基金预算收入支出决算情况说明</w:t>
      </w:r>
      <w:bookmarkEnd w:id="22"/>
      <w:bookmarkEnd w:id="23"/>
    </w:p>
    <w:p w:rsidR="008853A8" w:rsidRPr="008F7D99" w:rsidRDefault="00922FA7">
      <w:pPr>
        <w:ind w:firstLineChars="200" w:firstLine="640"/>
        <w:rPr>
          <w:rFonts w:ascii="仿宋_GB2312" w:eastAsia="仿宋_GB2312"/>
          <w:color w:val="000000" w:themeColor="text1"/>
          <w:sz w:val="32"/>
          <w:szCs w:val="32"/>
        </w:rPr>
      </w:pPr>
      <w:r>
        <w:rPr>
          <w:rFonts w:ascii="仿宋_GB2312" w:eastAsia="仿宋_GB2312" w:hAnsi="仿宋_GB2312" w:cs="仿宋_GB2312"/>
          <w:sz w:val="32"/>
        </w:rPr>
        <w:t>我单位本年度无政府性基金预算财政拨款收入支出，政府性基金预算财政拨款收入支出决算表为空表。</w:t>
      </w:r>
    </w:p>
    <w:p w:rsidR="008853A8" w:rsidRDefault="008853A8">
      <w:pPr>
        <w:ind w:firstLineChars="200" w:firstLine="640"/>
        <w:outlineLvl w:val="1"/>
        <w:rPr>
          <w:rFonts w:ascii="黑体" w:eastAsia="黑体" w:hAnsi="黑体" w:cs="宋体"/>
          <w:bCs/>
          <w:kern w:val="0"/>
          <w:sz w:val="32"/>
          <w:szCs w:val="32"/>
        </w:rPr>
      </w:pPr>
      <w:bookmarkStart w:id="24" w:name="_Toc7314"/>
      <w:bookmarkStart w:id="25" w:name="_Toc1235"/>
      <w:r>
        <w:rPr>
          <w:rFonts w:ascii="黑体" w:eastAsia="黑体" w:hAnsi="黑体" w:cs="宋体" w:hint="eastAsia"/>
          <w:bCs/>
          <w:kern w:val="0"/>
          <w:sz w:val="32"/>
          <w:szCs w:val="32"/>
        </w:rPr>
        <w:t>九、其他重要事项的情况说明</w:t>
      </w:r>
      <w:bookmarkEnd w:id="24"/>
      <w:bookmarkEnd w:id="25"/>
    </w:p>
    <w:p w:rsidR="008853A8" w:rsidRDefault="008853A8">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rsidR="00553FB5" w:rsidRDefault="00553FB5">
      <w:pPr>
        <w:ind w:firstLineChars="200" w:firstLine="640"/>
        <w:rPr>
          <w:rFonts w:ascii="仿宋_GB2312" w:eastAsia="仿宋_GB2312"/>
          <w:sz w:val="32"/>
          <w:szCs w:val="32"/>
        </w:rPr>
      </w:pPr>
      <w:r>
        <w:rPr>
          <w:rFonts w:ascii="仿宋_GB2312" w:eastAsia="仿宋_GB2312" w:hAnsi="仿宋_GB2312" w:cs="仿宋_GB2312"/>
          <w:sz w:val="32"/>
        </w:rPr>
        <w:t>2019年度新疆喀什地区农村合作经济经营管理局机关运行经费支出9.86万元，比上年增加1.17万元，增长13.46%，主要原因是新增购买办公设备和民族团结工作经费增加。</w:t>
      </w:r>
    </w:p>
    <w:p w:rsidR="008853A8" w:rsidRDefault="008853A8">
      <w:pPr>
        <w:ind w:firstLineChars="200" w:firstLine="640"/>
        <w:outlineLvl w:val="2"/>
        <w:rPr>
          <w:rFonts w:ascii="黑体" w:eastAsia="黑体" w:hAnsi="黑体"/>
          <w:sz w:val="32"/>
          <w:szCs w:val="32"/>
        </w:rPr>
      </w:pPr>
      <w:bookmarkStart w:id="28" w:name="_Toc26704"/>
      <w:bookmarkStart w:id="29" w:name="_Toc227"/>
      <w:r>
        <w:rPr>
          <w:rFonts w:ascii="黑体" w:eastAsia="黑体" w:hAnsi="黑体" w:hint="eastAsia"/>
          <w:sz w:val="32"/>
          <w:szCs w:val="32"/>
        </w:rPr>
        <w:t>（二）政府采购情况</w:t>
      </w:r>
      <w:bookmarkEnd w:id="28"/>
      <w:bookmarkEnd w:id="29"/>
    </w:p>
    <w:p w:rsidR="008853A8" w:rsidRDefault="002122DE">
      <w:pPr>
        <w:ind w:firstLineChars="200" w:firstLine="640"/>
        <w:rPr>
          <w:rFonts w:ascii="仿宋_GB2312" w:eastAsia="仿宋_GB2312"/>
          <w:sz w:val="32"/>
          <w:szCs w:val="32"/>
        </w:rPr>
      </w:pPr>
      <w:r>
        <w:rPr>
          <w:rFonts w:ascii="仿宋_GB2312" w:eastAsia="仿宋_GB2312" w:hAnsi="仿宋_GB2312" w:cs="仿宋_GB2312"/>
          <w:sz w:val="32"/>
        </w:rPr>
        <w:t>2019年度政府采购支出总额3.68万元，其中：政府采购货物支出3.35万元、政府采购工程支出0万元、政府采购服务支出0.33万元。</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授予中小企业合同金额3.35万元，占政府采购支出总额的91.03%，其中：授予小微企业合同金额3.35万元，占政府采购支出总额的91.03%。</w:t>
      </w:r>
    </w:p>
    <w:p w:rsidR="008853A8" w:rsidRDefault="008853A8">
      <w:pPr>
        <w:ind w:firstLineChars="200" w:firstLine="640"/>
        <w:outlineLvl w:val="2"/>
        <w:rPr>
          <w:rFonts w:ascii="黑体" w:eastAsia="黑体" w:hAnsi="黑体"/>
          <w:sz w:val="32"/>
          <w:szCs w:val="32"/>
        </w:rPr>
      </w:pPr>
      <w:bookmarkStart w:id="30" w:name="_Toc4591"/>
      <w:bookmarkStart w:id="31" w:name="_Toc8391"/>
      <w:r>
        <w:rPr>
          <w:rFonts w:ascii="黑体" w:eastAsia="黑体" w:hAnsi="黑体" w:hint="eastAsia"/>
          <w:sz w:val="32"/>
          <w:szCs w:val="32"/>
        </w:rPr>
        <w:t>（三）国有资产占用情况说明</w:t>
      </w:r>
      <w:bookmarkEnd w:id="30"/>
      <w:bookmarkEnd w:id="31"/>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lastRenderedPageBreak/>
        <w:t>截止2019年12月31日，单位共有房屋0（平方米），价值0万元。车辆1辆，价值17.83万元，其中：副部（省）级及以上领导用车0辆、主要领导干部用车0辆、机要通信用车0辆、应急保障用车0辆、执法执勤用车0辆、特种专业技术用车0辆、离退休干部用车0辆、其他用车1辆，其他用车主要是：一般公务用车；单位价值50万元以上通用设备0台（套）、单位价值100万元以上专用设备0台（套）。</w:t>
      </w:r>
    </w:p>
    <w:p w:rsidR="008853A8" w:rsidRDefault="008853A8">
      <w:pPr>
        <w:ind w:firstLineChars="200" w:firstLine="640"/>
        <w:outlineLvl w:val="1"/>
        <w:rPr>
          <w:rFonts w:ascii="黑体" w:eastAsia="黑体" w:hAnsi="黑体" w:cs="宋体"/>
          <w:bCs/>
          <w:kern w:val="0"/>
          <w:sz w:val="32"/>
          <w:szCs w:val="32"/>
        </w:rPr>
      </w:pPr>
      <w:bookmarkStart w:id="32" w:name="_Toc435"/>
      <w:bookmarkStart w:id="33" w:name="_Toc11283"/>
      <w:r>
        <w:rPr>
          <w:rFonts w:ascii="黑体" w:eastAsia="黑体" w:hAnsi="黑体" w:cs="宋体" w:hint="eastAsia"/>
          <w:bCs/>
          <w:kern w:val="0"/>
          <w:sz w:val="32"/>
          <w:szCs w:val="32"/>
        </w:rPr>
        <w:t>十、预算绩效的情况说明</w:t>
      </w:r>
      <w:bookmarkEnd w:id="32"/>
      <w:bookmarkEnd w:id="33"/>
    </w:p>
    <w:p w:rsidR="008853A8" w:rsidRDefault="0095219B">
      <w:pPr>
        <w:ind w:firstLineChars="200" w:firstLine="640"/>
        <w:rPr>
          <w:rFonts w:ascii="仿宋_GB2312" w:eastAsia="仿宋_GB2312"/>
          <w:sz w:val="32"/>
          <w:szCs w:val="32"/>
        </w:rPr>
      </w:pPr>
      <w:r>
        <w:rPr>
          <w:rFonts w:ascii="仿宋_GB2312" w:eastAsia="仿宋_GB2312" w:hAnsi="仿宋_GB2312" w:cs="仿宋_GB2312"/>
          <w:sz w:val="32"/>
        </w:rPr>
        <w:t>根据预算绩效管理要求，我单位2019年度开展预算绩效评价项目5个，共涉及资金58.44万元。预算绩效管理取得的成效：通过项目的推进、指导、服务、督导，及时解决存在的疑难问题，督查指导覆盖率100%。促进我区农村土地确权、土地流转、社会化服务以及农村集体产权制度改革，解放农村劳动力，促进就业，农民满意度95%。发现的问题及原因：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下一步改进措施：一是项目建设的程序进一步规范。项目前期做好可行性研究报告，更加细化实施方案，严格执行资金管理办法和财政资金管理制度，严格按照项目实施方案、</w:t>
      </w:r>
      <w:r>
        <w:rPr>
          <w:rFonts w:ascii="仿宋_GB2312" w:eastAsia="仿宋_GB2312" w:hAnsi="仿宋_GB2312" w:cs="仿宋_GB2312"/>
          <w:sz w:val="32"/>
        </w:rPr>
        <w:lastRenderedPageBreak/>
        <w:t>招投标管理办法等稳步推进工作，各部门单位根据自己项目的特点进行总结。二是项目评价资料有待进一步完善。项目启动时同步做好档案的归纳与整理，及时整理、收集、汇总，健全档案资料。三是通过绩效管理，发现实施中存在漏洞。四是评价工作应从项目实施方案源头抓起，评价工作和意识应贯穿项目整个过程。具体项目自评情况附项目支出绩效自评表。</w:t>
      </w:r>
    </w:p>
    <w:p w:rsidR="008853A8" w:rsidRDefault="008853A8">
      <w:pPr>
        <w:ind w:firstLineChars="200" w:firstLine="640"/>
        <w:jc w:val="center"/>
        <w:outlineLvl w:val="0"/>
        <w:rPr>
          <w:rFonts w:ascii="黑体" w:eastAsia="黑体" w:hAnsi="黑体"/>
          <w:sz w:val="32"/>
          <w:szCs w:val="32"/>
        </w:rPr>
      </w:pPr>
      <w:bookmarkStart w:id="34" w:name="_Toc24143"/>
      <w:bookmarkStart w:id="35" w:name="_Toc3250"/>
      <w:r>
        <w:rPr>
          <w:rFonts w:ascii="黑体" w:eastAsia="黑体" w:hAnsi="黑体" w:hint="eastAsia"/>
          <w:sz w:val="32"/>
          <w:szCs w:val="32"/>
        </w:rPr>
        <w:t>第三部分 专业名词解释</w:t>
      </w:r>
      <w:bookmarkEnd w:id="34"/>
      <w:bookmarkEnd w:id="35"/>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w:t>
      </w:r>
      <w:r>
        <w:rPr>
          <w:rFonts w:ascii="仿宋_GB2312" w:eastAsia="仿宋_GB2312" w:hint="eastAsia"/>
          <w:sz w:val="32"/>
          <w:szCs w:val="32"/>
        </w:rPr>
        <w:lastRenderedPageBreak/>
        <w:t>下，使用以前年度积累的事业基金（即事业单位当年收支相抵后按国家规定提取、用于弥补以后年度收支差额的基金）弥补本年度收支缺口的资金。</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w:t>
      </w:r>
      <w:r>
        <w:rPr>
          <w:rFonts w:ascii="仿宋_GB2312" w:eastAsia="仿宋_GB2312" w:hint="eastAsia"/>
          <w:sz w:val="32"/>
          <w:szCs w:val="32"/>
        </w:rPr>
        <w:lastRenderedPageBreak/>
        <w:t>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8853A8" w:rsidRDefault="008853A8">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8853A8" w:rsidRDefault="008853A8">
      <w:pPr>
        <w:ind w:firstLineChars="200" w:firstLine="640"/>
        <w:jc w:val="center"/>
        <w:outlineLvl w:val="0"/>
        <w:rPr>
          <w:rFonts w:ascii="黑体" w:eastAsia="黑体" w:hAnsi="黑体"/>
          <w:sz w:val="32"/>
          <w:szCs w:val="32"/>
        </w:rPr>
      </w:pPr>
      <w:bookmarkStart w:id="36" w:name="_Toc28903"/>
      <w:bookmarkStart w:id="37" w:name="_Toc22784"/>
      <w:r>
        <w:rPr>
          <w:rFonts w:ascii="黑体" w:eastAsia="黑体" w:hAnsi="黑体" w:hint="eastAsia"/>
          <w:sz w:val="32"/>
          <w:szCs w:val="32"/>
        </w:rPr>
        <w:t>第四部分 部门决算报表（见附表）</w:t>
      </w:r>
      <w:bookmarkEnd w:id="36"/>
      <w:bookmarkEnd w:id="37"/>
    </w:p>
    <w:p w:rsidR="008853A8" w:rsidRDefault="008853A8">
      <w:pPr>
        <w:ind w:firstLineChars="200" w:firstLine="640"/>
        <w:outlineLvl w:val="1"/>
        <w:rPr>
          <w:rFonts w:ascii="黑体" w:eastAsia="黑体" w:hAnsi="黑体" w:cs="宋体"/>
          <w:bCs/>
          <w:kern w:val="0"/>
          <w:sz w:val="32"/>
          <w:szCs w:val="32"/>
        </w:rPr>
      </w:pPr>
      <w:bookmarkStart w:id="38" w:name="_Toc6062"/>
      <w:bookmarkStart w:id="39" w:name="_Toc2183"/>
      <w:r>
        <w:rPr>
          <w:rFonts w:ascii="黑体" w:eastAsia="黑体" w:hAnsi="黑体" w:cs="宋体" w:hint="eastAsia"/>
          <w:bCs/>
          <w:kern w:val="0"/>
          <w:sz w:val="32"/>
          <w:szCs w:val="32"/>
        </w:rPr>
        <w:t>一、《收入支出决算总表》</w:t>
      </w:r>
      <w:bookmarkEnd w:id="38"/>
      <w:bookmarkEnd w:id="39"/>
    </w:p>
    <w:p w:rsidR="008853A8" w:rsidRDefault="008853A8">
      <w:pPr>
        <w:ind w:firstLineChars="200" w:firstLine="640"/>
        <w:outlineLvl w:val="1"/>
        <w:rPr>
          <w:rFonts w:ascii="黑体" w:eastAsia="黑体" w:hAnsi="黑体" w:cs="宋体"/>
          <w:bCs/>
          <w:kern w:val="0"/>
          <w:sz w:val="32"/>
          <w:szCs w:val="32"/>
        </w:rPr>
      </w:pPr>
      <w:bookmarkStart w:id="40" w:name="_Toc30364"/>
      <w:bookmarkStart w:id="41" w:name="_Toc24532"/>
      <w:r>
        <w:rPr>
          <w:rFonts w:ascii="黑体" w:eastAsia="黑体" w:hAnsi="黑体" w:cs="宋体" w:hint="eastAsia"/>
          <w:bCs/>
          <w:kern w:val="0"/>
          <w:sz w:val="32"/>
          <w:szCs w:val="32"/>
        </w:rPr>
        <w:t>二、《收入决算表》</w:t>
      </w:r>
      <w:bookmarkEnd w:id="40"/>
      <w:bookmarkEnd w:id="41"/>
    </w:p>
    <w:p w:rsidR="008853A8" w:rsidRDefault="008853A8">
      <w:pPr>
        <w:ind w:firstLineChars="200" w:firstLine="640"/>
        <w:outlineLvl w:val="1"/>
        <w:rPr>
          <w:rFonts w:ascii="黑体" w:eastAsia="黑体" w:hAnsi="黑体" w:cs="宋体"/>
          <w:bCs/>
          <w:kern w:val="0"/>
          <w:sz w:val="32"/>
          <w:szCs w:val="32"/>
        </w:rPr>
      </w:pPr>
      <w:bookmarkStart w:id="42" w:name="_Toc21304"/>
      <w:bookmarkStart w:id="43" w:name="_Toc32434"/>
      <w:r>
        <w:rPr>
          <w:rFonts w:ascii="黑体" w:eastAsia="黑体" w:hAnsi="黑体" w:cs="宋体" w:hint="eastAsia"/>
          <w:bCs/>
          <w:kern w:val="0"/>
          <w:sz w:val="32"/>
          <w:szCs w:val="32"/>
        </w:rPr>
        <w:t>三、《支出决算表》</w:t>
      </w:r>
      <w:bookmarkEnd w:id="42"/>
      <w:bookmarkEnd w:id="43"/>
    </w:p>
    <w:p w:rsidR="008853A8" w:rsidRDefault="008853A8">
      <w:pPr>
        <w:ind w:firstLineChars="200" w:firstLine="640"/>
        <w:outlineLvl w:val="1"/>
        <w:rPr>
          <w:rFonts w:ascii="黑体" w:eastAsia="黑体" w:hAnsi="黑体" w:cs="宋体"/>
          <w:bCs/>
          <w:kern w:val="0"/>
          <w:sz w:val="32"/>
          <w:szCs w:val="32"/>
        </w:rPr>
      </w:pPr>
      <w:bookmarkStart w:id="44" w:name="_Toc14238"/>
      <w:bookmarkStart w:id="45" w:name="_Toc28786"/>
      <w:r>
        <w:rPr>
          <w:rFonts w:ascii="黑体" w:eastAsia="黑体" w:hAnsi="黑体" w:cs="宋体" w:hint="eastAsia"/>
          <w:bCs/>
          <w:kern w:val="0"/>
          <w:sz w:val="32"/>
          <w:szCs w:val="32"/>
        </w:rPr>
        <w:t>四、《财政拨款收入支出决算总表》</w:t>
      </w:r>
      <w:bookmarkEnd w:id="44"/>
      <w:bookmarkEnd w:id="45"/>
    </w:p>
    <w:p w:rsidR="008853A8" w:rsidRDefault="008853A8">
      <w:pPr>
        <w:ind w:firstLineChars="200" w:firstLine="640"/>
        <w:outlineLvl w:val="1"/>
        <w:rPr>
          <w:rFonts w:ascii="黑体" w:eastAsia="黑体" w:hAnsi="黑体" w:cs="宋体"/>
          <w:bCs/>
          <w:kern w:val="0"/>
          <w:sz w:val="32"/>
          <w:szCs w:val="32"/>
        </w:rPr>
      </w:pPr>
      <w:bookmarkStart w:id="46" w:name="_Toc10347"/>
      <w:bookmarkStart w:id="47" w:name="_Toc14869"/>
      <w:r>
        <w:rPr>
          <w:rFonts w:ascii="黑体" w:eastAsia="黑体" w:hAnsi="黑体" w:cs="宋体" w:hint="eastAsia"/>
          <w:bCs/>
          <w:kern w:val="0"/>
          <w:sz w:val="32"/>
          <w:szCs w:val="32"/>
        </w:rPr>
        <w:t>五、《一般公共预算财政拨款支出决算表》</w:t>
      </w:r>
      <w:bookmarkEnd w:id="46"/>
      <w:bookmarkEnd w:id="47"/>
    </w:p>
    <w:p w:rsidR="008853A8" w:rsidRDefault="008853A8">
      <w:pPr>
        <w:ind w:firstLineChars="200" w:firstLine="640"/>
        <w:outlineLvl w:val="1"/>
        <w:rPr>
          <w:rFonts w:ascii="黑体" w:eastAsia="黑体" w:hAnsi="黑体" w:cs="宋体"/>
          <w:bCs/>
          <w:kern w:val="0"/>
          <w:sz w:val="32"/>
          <w:szCs w:val="32"/>
        </w:rPr>
      </w:pPr>
      <w:bookmarkStart w:id="48" w:name="_Toc5626"/>
      <w:bookmarkStart w:id="49" w:name="_Toc8884"/>
      <w:r>
        <w:rPr>
          <w:rFonts w:ascii="黑体" w:eastAsia="黑体" w:hAnsi="黑体" w:cs="宋体" w:hint="eastAsia"/>
          <w:bCs/>
          <w:kern w:val="0"/>
          <w:sz w:val="32"/>
          <w:szCs w:val="32"/>
        </w:rPr>
        <w:t>六、《一般公共预算财政拨款基本支出决算表》</w:t>
      </w:r>
      <w:bookmarkEnd w:id="48"/>
      <w:bookmarkEnd w:id="49"/>
    </w:p>
    <w:p w:rsidR="008853A8" w:rsidRDefault="008853A8">
      <w:pPr>
        <w:ind w:firstLineChars="200" w:firstLine="640"/>
        <w:outlineLvl w:val="1"/>
        <w:rPr>
          <w:rFonts w:ascii="黑体" w:eastAsia="黑体" w:hAnsi="黑体" w:cs="宋体"/>
          <w:bCs/>
          <w:kern w:val="0"/>
          <w:sz w:val="32"/>
          <w:szCs w:val="32"/>
        </w:rPr>
      </w:pPr>
      <w:bookmarkStart w:id="50" w:name="_Toc32663"/>
      <w:bookmarkStart w:id="51" w:name="_Toc29106"/>
      <w:r>
        <w:rPr>
          <w:rFonts w:ascii="黑体" w:eastAsia="黑体" w:hAnsi="黑体" w:cs="宋体" w:hint="eastAsia"/>
          <w:bCs/>
          <w:kern w:val="0"/>
          <w:sz w:val="32"/>
          <w:szCs w:val="32"/>
        </w:rPr>
        <w:t>七、《一般公共预算财政拨款“三公”经费支出决算表》</w:t>
      </w:r>
      <w:bookmarkEnd w:id="50"/>
      <w:bookmarkEnd w:id="51"/>
    </w:p>
    <w:p w:rsidR="008853A8" w:rsidRDefault="008853A8">
      <w:pPr>
        <w:ind w:firstLineChars="200" w:firstLine="640"/>
        <w:outlineLvl w:val="1"/>
        <w:rPr>
          <w:rFonts w:ascii="黑体" w:eastAsia="黑体" w:hAnsi="黑体" w:cs="宋体"/>
          <w:bCs/>
          <w:kern w:val="0"/>
          <w:sz w:val="32"/>
          <w:szCs w:val="32"/>
        </w:rPr>
      </w:pPr>
      <w:bookmarkStart w:id="52" w:name="_Toc5453"/>
      <w:bookmarkStart w:id="53" w:name="_Toc7643"/>
      <w:r>
        <w:rPr>
          <w:rFonts w:ascii="黑体" w:eastAsia="黑体" w:hAnsi="黑体" w:cs="宋体" w:hint="eastAsia"/>
          <w:bCs/>
          <w:kern w:val="0"/>
          <w:sz w:val="32"/>
          <w:szCs w:val="32"/>
        </w:rPr>
        <w:t>八、《政府性基金预算财政拨款收入支出决算表》</w:t>
      </w:r>
      <w:bookmarkEnd w:id="52"/>
      <w:bookmarkEnd w:id="53"/>
    </w:p>
    <w:sectPr w:rsidR="008853A8" w:rsidSect="007458BF">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3C7E" w:rsidRDefault="00E53C7E">
      <w:r>
        <w:separator/>
      </w:r>
    </w:p>
  </w:endnote>
  <w:endnote w:type="continuationSeparator" w:id="0">
    <w:p w:rsidR="00E53C7E" w:rsidRDefault="00E53C7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0" w:usb1="00000000" w:usb2="00000010" w:usb3="00000000" w:csb0="00040000" w:csb1="00000000"/>
  </w:font>
  <w:font w:name="等线 Light">
    <w:altName w:val="微软雅黑"/>
    <w:charset w:val="86"/>
    <w:family w:val="auto"/>
    <w:pitch w:val="variable"/>
    <w:sig w:usb0="00000000" w:usb1="38CF7CFA" w:usb2="00000016" w:usb3="00000000" w:csb0="0004000F" w:csb1="00000000"/>
  </w:font>
  <w:font w:name="等线">
    <w:altName w:val="DengXian"/>
    <w:charset w:val="86"/>
    <w:family w:val="auto"/>
    <w:pitch w:val="variable"/>
    <w:sig w:usb0="A00002BF"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53A8" w:rsidRDefault="007458BF">
    <w:pPr>
      <w:pStyle w:val="a4"/>
    </w:pPr>
    <w:r>
      <w:rPr>
        <w:noProof/>
      </w:rPr>
      <w:pict>
        <v:shapetype id="_x0000_t202" coordsize="21600,21600" o:spt="202" path="m,l,21600r21600,l21600,xe">
          <v:stroke joinstyle="miter"/>
          <v:path gradientshapeok="t" o:connecttype="rect"/>
        </v:shapetype>
        <v:shape id="文本框 1" o:spid="_x0000_s4097" type="#_x0000_t202" style="position:absolute;margin-left:0;margin-top:0;width:2in;height:2in;z-index:251657728;visibility:visible;mso-wrap-style:none;mso-position-horizontal:center;mso-position-horizontal-relative:margin" filled="f" stroked="f">
          <v:textbox style="mso-fit-shape-to-text:t" inset="0,0,0,0">
            <w:txbxContent>
              <w:p w:rsidR="008853A8" w:rsidRDefault="007458BF">
                <w:pPr>
                  <w:pStyle w:val="a4"/>
                </w:pPr>
                <w:r>
                  <w:rPr>
                    <w:rFonts w:hint="eastAsia"/>
                  </w:rPr>
                  <w:fldChar w:fldCharType="begin"/>
                </w:r>
                <w:r w:rsidR="008853A8">
                  <w:rPr>
                    <w:rFonts w:hint="eastAsia"/>
                  </w:rPr>
                  <w:instrText xml:space="preserve"> PAGE  \* MERGEFORMAT </w:instrText>
                </w:r>
                <w:r>
                  <w:rPr>
                    <w:rFonts w:hint="eastAsia"/>
                  </w:rPr>
                  <w:fldChar w:fldCharType="separate"/>
                </w:r>
                <w:r w:rsidR="00756C5C">
                  <w:rPr>
                    <w:noProof/>
                  </w:rPr>
                  <w:t>10</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3C7E" w:rsidRDefault="00E53C7E">
      <w:r>
        <w:separator/>
      </w:r>
    </w:p>
  </w:footnote>
  <w:footnote w:type="continuationSeparator" w:id="0">
    <w:p w:rsidR="00E53C7E" w:rsidRDefault="00E53C7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ocumentProtection w:edit="comments" w:enforcement="1" w:cryptProviderType="rsaFull" w:cryptAlgorithmClass="hash" w:cryptAlgorithmType="typeAny" w:cryptAlgorithmSid="4" w:cryptSpinCount="100000" w:hash="u+UlH9GOHY9jNypO3FwFVoGankA=" w:salt="NVdFI80tkv2khBtr7MjjIQ=="/>
  <w:defaultTabStop w:val="420"/>
  <w:drawingGridVerticalSpacing w:val="156"/>
  <w:displayHorizontalDrawingGridEvery w:val="0"/>
  <w:displayVerticalDrawingGridEvery w:val="2"/>
  <w:characterSpacingControl w:val="compressPunctuation"/>
  <w:hdrShapeDefaults>
    <o:shapedefaults v:ext="edit" spidmax="5122"/>
    <o:shapelayout v:ext="edit">
      <o:idmap v:ext="edit" data="4"/>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B072F"/>
    <w:rsid w:val="002B37DA"/>
    <w:rsid w:val="002B7A04"/>
    <w:rsid w:val="002D187F"/>
    <w:rsid w:val="002F1732"/>
    <w:rsid w:val="003106FF"/>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D3853"/>
    <w:rsid w:val="006E0721"/>
    <w:rsid w:val="0070295D"/>
    <w:rsid w:val="00725755"/>
    <w:rsid w:val="007458BF"/>
    <w:rsid w:val="0075023C"/>
    <w:rsid w:val="00750D8A"/>
    <w:rsid w:val="00756C5C"/>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6644C"/>
    <w:rsid w:val="00D71F68"/>
    <w:rsid w:val="00D767F4"/>
    <w:rsid w:val="00DA07A0"/>
    <w:rsid w:val="00DB4A9A"/>
    <w:rsid w:val="00DB6F81"/>
    <w:rsid w:val="00DD3B82"/>
    <w:rsid w:val="00E02851"/>
    <w:rsid w:val="00E43F43"/>
    <w:rsid w:val="00E53C7E"/>
    <w:rsid w:val="00E76594"/>
    <w:rsid w:val="00EB1FF2"/>
    <w:rsid w:val="00EB42AF"/>
    <w:rsid w:val="00EB49C8"/>
    <w:rsid w:val="00EE3598"/>
    <w:rsid w:val="00EE791B"/>
    <w:rsid w:val="00F040C7"/>
    <w:rsid w:val="00F04DC0"/>
    <w:rsid w:val="00F24BA1"/>
    <w:rsid w:val="00F45607"/>
    <w:rsid w:val="00F552F7"/>
    <w:rsid w:val="00F57EE2"/>
    <w:rsid w:val="00F67C07"/>
    <w:rsid w:val="00F777E1"/>
    <w:rsid w:val="00F80266"/>
    <w:rsid w:val="00F83E19"/>
    <w:rsid w:val="00FB3828"/>
    <w:rsid w:val="00FC7A52"/>
    <w:rsid w:val="00FE0761"/>
    <w:rsid w:val="00FF5166"/>
    <w:rsid w:val="0679277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458B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toc 2"/>
    <w:basedOn w:val="a"/>
    <w:next w:val="a"/>
    <w:rsid w:val="007458BF"/>
    <w:pPr>
      <w:ind w:leftChars="200" w:left="420"/>
    </w:pPr>
  </w:style>
  <w:style w:type="paragraph" w:styleId="1">
    <w:name w:val="toc 1"/>
    <w:basedOn w:val="a"/>
    <w:next w:val="a"/>
    <w:rsid w:val="007458BF"/>
  </w:style>
  <w:style w:type="paragraph" w:styleId="a3">
    <w:name w:val="header"/>
    <w:basedOn w:val="a"/>
    <w:rsid w:val="007458BF"/>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3">
    <w:name w:val="toc 3"/>
    <w:basedOn w:val="a"/>
    <w:next w:val="a"/>
    <w:rsid w:val="007458BF"/>
    <w:pPr>
      <w:ind w:leftChars="400" w:left="840"/>
    </w:pPr>
  </w:style>
  <w:style w:type="paragraph" w:styleId="a4">
    <w:name w:val="footer"/>
    <w:basedOn w:val="a"/>
    <w:rsid w:val="007458BF"/>
    <w:pPr>
      <w:tabs>
        <w:tab w:val="center" w:pos="4153"/>
        <w:tab w:val="right" w:pos="8306"/>
      </w:tabs>
      <w:snapToGrid w:val="0"/>
      <w:jc w:val="left"/>
    </w:pPr>
    <w:rPr>
      <w:sz w:val="18"/>
    </w:rPr>
  </w:style>
  <w:style w:type="paragraph" w:styleId="a5">
    <w:name w:val="annotation text"/>
    <w:basedOn w:val="a"/>
    <w:rsid w:val="007458BF"/>
    <w:pPr>
      <w:jc w:val="left"/>
    </w:pPr>
  </w:style>
  <w:style w:type="paragraph" w:customStyle="1" w:styleId="WPSOffice3">
    <w:name w:val="WPSOffice手动目录 3"/>
    <w:rsid w:val="007458BF"/>
    <w:pPr>
      <w:ind w:leftChars="400" w:left="400"/>
    </w:pPr>
  </w:style>
  <w:style w:type="paragraph" w:customStyle="1" w:styleId="WPSOffice2">
    <w:name w:val="WPSOffice手动目录 2"/>
    <w:rsid w:val="007458BF"/>
    <w:pPr>
      <w:ind w:leftChars="200" w:left="200"/>
    </w:pPr>
  </w:style>
  <w:style w:type="paragraph" w:customStyle="1" w:styleId="WPSOffice1">
    <w:name w:val="WPSOffice手动目录 1"/>
    <w:rsid w:val="007458BF"/>
  </w:style>
</w:styles>
</file>

<file path=word/webSettings.xml><?xml version="1.0" encoding="utf-8"?>
<w:webSettings xmlns:r="http://schemas.openxmlformats.org/officeDocument/2006/relationships" xmlns:w="http://schemas.openxmlformats.org/wordprocessingml/2006/main">
  <w:divs>
    <w:div w:id="497381100">
      <w:bodyDiv w:val="1"/>
      <w:marLeft w:val="0"/>
      <w:marRight w:val="0"/>
      <w:marTop w:val="0"/>
      <w:marBottom w:val="0"/>
      <w:divBdr>
        <w:top w:val="none" w:sz="0" w:space="0" w:color="auto"/>
        <w:left w:val="none" w:sz="0" w:space="0" w:color="auto"/>
        <w:bottom w:val="none" w:sz="0" w:space="0" w:color="auto"/>
        <w:right w:val="none" w:sz="0" w:space="0" w:color="auto"/>
      </w:divBdr>
    </w:div>
    <w:div w:id="726150857">
      <w:bodyDiv w:val="1"/>
      <w:marLeft w:val="0"/>
      <w:marRight w:val="0"/>
      <w:marTop w:val="0"/>
      <w:marBottom w:val="0"/>
      <w:divBdr>
        <w:top w:val="none" w:sz="0" w:space="0" w:color="auto"/>
        <w:left w:val="none" w:sz="0" w:space="0" w:color="auto"/>
        <w:bottom w:val="none" w:sz="0" w:space="0" w:color="auto"/>
        <w:right w:val="none" w:sz="0" w:space="0" w:color="auto"/>
      </w:divBdr>
    </w:div>
    <w:div w:id="1085761621">
      <w:bodyDiv w:val="1"/>
      <w:marLeft w:val="0"/>
      <w:marRight w:val="0"/>
      <w:marTop w:val="0"/>
      <w:marBottom w:val="0"/>
      <w:divBdr>
        <w:top w:val="none" w:sz="0" w:space="0" w:color="auto"/>
        <w:left w:val="none" w:sz="0" w:space="0" w:color="auto"/>
        <w:bottom w:val="none" w:sz="0" w:space="0" w:color="auto"/>
        <w:right w:val="none" w:sz="0" w:space="0" w:color="auto"/>
      </w:divBdr>
    </w:div>
    <w:div w:id="1572694809">
      <w:bodyDiv w:val="1"/>
      <w:marLeft w:val="0"/>
      <w:marRight w:val="0"/>
      <w:marTop w:val="0"/>
      <w:marBottom w:val="0"/>
      <w:divBdr>
        <w:top w:val="none" w:sz="0" w:space="0" w:color="auto"/>
        <w:left w:val="none" w:sz="0" w:space="0" w:color="auto"/>
        <w:bottom w:val="none" w:sz="0" w:space="0" w:color="auto"/>
        <w:right w:val="none" w:sz="0" w:space="0" w:color="auto"/>
      </w:divBdr>
    </w:div>
    <w:div w:id="1814247851">
      <w:bodyDiv w:val="1"/>
      <w:marLeft w:val="0"/>
      <w:marRight w:val="0"/>
      <w:marTop w:val="0"/>
      <w:marBottom w:val="0"/>
      <w:divBdr>
        <w:top w:val="none" w:sz="0" w:space="0" w:color="auto"/>
        <w:left w:val="none" w:sz="0" w:space="0" w:color="auto"/>
        <w:bottom w:val="none" w:sz="0" w:space="0" w:color="auto"/>
        <w:right w:val="none" w:sz="0" w:space="0" w:color="auto"/>
      </w:divBdr>
    </w:div>
    <w:div w:id="1847329340">
      <w:bodyDiv w:val="1"/>
      <w:marLeft w:val="0"/>
      <w:marRight w:val="0"/>
      <w:marTop w:val="0"/>
      <w:marBottom w:val="0"/>
      <w:divBdr>
        <w:top w:val="none" w:sz="0" w:space="0" w:color="auto"/>
        <w:left w:val="none" w:sz="0" w:space="0" w:color="auto"/>
        <w:bottom w:val="none" w:sz="0" w:space="0" w:color="auto"/>
        <w:right w:val="none" w:sz="0" w:space="0" w:color="auto"/>
      </w:divBdr>
    </w:div>
    <w:div w:id="1919709360">
      <w:bodyDiv w:val="1"/>
      <w:marLeft w:val="0"/>
      <w:marRight w:val="0"/>
      <w:marTop w:val="0"/>
      <w:marBottom w:val="0"/>
      <w:divBdr>
        <w:top w:val="none" w:sz="0" w:space="0" w:color="auto"/>
        <w:left w:val="none" w:sz="0" w:space="0" w:color="auto"/>
        <w:bottom w:val="none" w:sz="0" w:space="0" w:color="auto"/>
        <w:right w:val="none" w:sz="0" w:space="0" w:color="auto"/>
      </w:divBdr>
    </w:div>
    <w:div w:id="2019891532">
      <w:bodyDiv w:val="1"/>
      <w:marLeft w:val="0"/>
      <w:marRight w:val="0"/>
      <w:marTop w:val="0"/>
      <w:marBottom w:val="0"/>
      <w:divBdr>
        <w:top w:val="none" w:sz="0" w:space="0" w:color="auto"/>
        <w:left w:val="none" w:sz="0" w:space="0" w:color="auto"/>
        <w:bottom w:val="none" w:sz="0" w:space="0" w:color="auto"/>
        <w:right w:val="none" w:sz="0" w:space="0" w:color="auto"/>
      </w:divBdr>
    </w:div>
    <w:div w:id="2102601509">
      <w:bodyDiv w:val="1"/>
      <w:marLeft w:val="0"/>
      <w:marRight w:val="0"/>
      <w:marTop w:val="0"/>
      <w:marBottom w:val="0"/>
      <w:divBdr>
        <w:top w:val="none" w:sz="0" w:space="0" w:color="auto"/>
        <w:left w:val="none" w:sz="0" w:space="0" w:color="auto"/>
        <w:bottom w:val="none" w:sz="0" w:space="0" w:color="auto"/>
        <w:right w:val="none" w:sz="0" w:space="0" w:color="auto"/>
      </w:divBdr>
    </w:div>
    <w:div w:id="210819305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13</Pages>
  <Words>932</Words>
  <Characters>5315</Characters>
  <Application>Microsoft Office Word</Application>
  <DocSecurity>8</DocSecurity>
  <Lines>44</Lines>
  <Paragraphs>12</Paragraphs>
  <ScaleCrop>false</ScaleCrop>
  <Company/>
  <LinksUpToDate>false</LinksUpToDate>
  <CharactersWithSpaces>6235</CharactersWithSpaces>
  <SharedDoc>false</SharedDoc>
  <HLinks>
    <vt:vector size="162" baseType="variant">
      <vt:variant>
        <vt:i4>1179699</vt:i4>
      </vt:variant>
      <vt:variant>
        <vt:i4>80</vt:i4>
      </vt:variant>
      <vt:variant>
        <vt:i4>0</vt:i4>
      </vt:variant>
      <vt:variant>
        <vt:i4>5</vt:i4>
      </vt:variant>
      <vt:variant>
        <vt:lpwstr/>
      </vt:variant>
      <vt:variant>
        <vt:lpwstr>_Toc7643</vt:lpwstr>
      </vt:variant>
      <vt:variant>
        <vt:i4>1966131</vt:i4>
      </vt:variant>
      <vt:variant>
        <vt:i4>77</vt:i4>
      </vt:variant>
      <vt:variant>
        <vt:i4>0</vt:i4>
      </vt:variant>
      <vt:variant>
        <vt:i4>5</vt:i4>
      </vt:variant>
      <vt:variant>
        <vt:lpwstr/>
      </vt:variant>
      <vt:variant>
        <vt:lpwstr>_Toc29106</vt:lpwstr>
      </vt:variant>
      <vt:variant>
        <vt:i4>1769520</vt:i4>
      </vt:variant>
      <vt:variant>
        <vt:i4>74</vt:i4>
      </vt:variant>
      <vt:variant>
        <vt:i4>0</vt:i4>
      </vt:variant>
      <vt:variant>
        <vt:i4>5</vt:i4>
      </vt:variant>
      <vt:variant>
        <vt:lpwstr/>
      </vt:variant>
      <vt:variant>
        <vt:lpwstr>_Toc8884</vt:lpwstr>
      </vt:variant>
      <vt:variant>
        <vt:i4>1376313</vt:i4>
      </vt:variant>
      <vt:variant>
        <vt:i4>71</vt:i4>
      </vt:variant>
      <vt:variant>
        <vt:i4>0</vt:i4>
      </vt:variant>
      <vt:variant>
        <vt:i4>5</vt:i4>
      </vt:variant>
      <vt:variant>
        <vt:lpwstr/>
      </vt:variant>
      <vt:variant>
        <vt:lpwstr>_Toc14869</vt:lpwstr>
      </vt:variant>
      <vt:variant>
        <vt:i4>1507381</vt:i4>
      </vt:variant>
      <vt:variant>
        <vt:i4>68</vt:i4>
      </vt:variant>
      <vt:variant>
        <vt:i4>0</vt:i4>
      </vt:variant>
      <vt:variant>
        <vt:i4>5</vt:i4>
      </vt:variant>
      <vt:variant>
        <vt:lpwstr/>
      </vt:variant>
      <vt:variant>
        <vt:lpwstr>_Toc28786</vt:lpwstr>
      </vt:variant>
      <vt:variant>
        <vt:i4>1441847</vt:i4>
      </vt:variant>
      <vt:variant>
        <vt:i4>65</vt:i4>
      </vt:variant>
      <vt:variant>
        <vt:i4>0</vt:i4>
      </vt:variant>
      <vt:variant>
        <vt:i4>5</vt:i4>
      </vt:variant>
      <vt:variant>
        <vt:lpwstr/>
      </vt:variant>
      <vt:variant>
        <vt:lpwstr>_Toc32434</vt:lpwstr>
      </vt:variant>
      <vt:variant>
        <vt:i4>1048631</vt:i4>
      </vt:variant>
      <vt:variant>
        <vt:i4>62</vt:i4>
      </vt:variant>
      <vt:variant>
        <vt:i4>0</vt:i4>
      </vt:variant>
      <vt:variant>
        <vt:i4>5</vt:i4>
      </vt:variant>
      <vt:variant>
        <vt:lpwstr/>
      </vt:variant>
      <vt:variant>
        <vt:lpwstr>_Toc24532</vt:lpwstr>
      </vt:variant>
      <vt:variant>
        <vt:i4>1376314</vt:i4>
      </vt:variant>
      <vt:variant>
        <vt:i4>59</vt:i4>
      </vt:variant>
      <vt:variant>
        <vt:i4>0</vt:i4>
      </vt:variant>
      <vt:variant>
        <vt:i4>5</vt:i4>
      </vt:variant>
      <vt:variant>
        <vt:lpwstr/>
      </vt:variant>
      <vt:variant>
        <vt:lpwstr>_Toc2183</vt:lpwstr>
      </vt:variant>
      <vt:variant>
        <vt:i4>1900597</vt:i4>
      </vt:variant>
      <vt:variant>
        <vt:i4>56</vt:i4>
      </vt:variant>
      <vt:variant>
        <vt:i4>0</vt:i4>
      </vt:variant>
      <vt:variant>
        <vt:i4>5</vt:i4>
      </vt:variant>
      <vt:variant>
        <vt:lpwstr/>
      </vt:variant>
      <vt:variant>
        <vt:lpwstr>_Toc22784</vt:lpwstr>
      </vt:variant>
      <vt:variant>
        <vt:i4>1376310</vt:i4>
      </vt:variant>
      <vt:variant>
        <vt:i4>53</vt:i4>
      </vt:variant>
      <vt:variant>
        <vt:i4>0</vt:i4>
      </vt:variant>
      <vt:variant>
        <vt:i4>5</vt:i4>
      </vt:variant>
      <vt:variant>
        <vt:lpwstr/>
      </vt:variant>
      <vt:variant>
        <vt:lpwstr>_Toc3250</vt:lpwstr>
      </vt:variant>
      <vt:variant>
        <vt:i4>1966131</vt:i4>
      </vt:variant>
      <vt:variant>
        <vt:i4>50</vt:i4>
      </vt:variant>
      <vt:variant>
        <vt:i4>0</vt:i4>
      </vt:variant>
      <vt:variant>
        <vt:i4>5</vt:i4>
      </vt:variant>
      <vt:variant>
        <vt:lpwstr/>
      </vt:variant>
      <vt:variant>
        <vt:lpwstr>_Toc11283</vt:lpwstr>
      </vt:variant>
      <vt:variant>
        <vt:i4>1376305</vt:i4>
      </vt:variant>
      <vt:variant>
        <vt:i4>47</vt:i4>
      </vt:variant>
      <vt:variant>
        <vt:i4>0</vt:i4>
      </vt:variant>
      <vt:variant>
        <vt:i4>5</vt:i4>
      </vt:variant>
      <vt:variant>
        <vt:lpwstr/>
      </vt:variant>
      <vt:variant>
        <vt:lpwstr>_Toc8391</vt:lpwstr>
      </vt:variant>
      <vt:variant>
        <vt:i4>2424834</vt:i4>
      </vt:variant>
      <vt:variant>
        <vt:i4>44</vt:i4>
      </vt:variant>
      <vt:variant>
        <vt:i4>0</vt:i4>
      </vt:variant>
      <vt:variant>
        <vt:i4>5</vt:i4>
      </vt:variant>
      <vt:variant>
        <vt:lpwstr/>
      </vt:variant>
      <vt:variant>
        <vt:lpwstr>_Toc227</vt:lpwstr>
      </vt:variant>
      <vt:variant>
        <vt:i4>1179700</vt:i4>
      </vt:variant>
      <vt:variant>
        <vt:i4>41</vt:i4>
      </vt:variant>
      <vt:variant>
        <vt:i4>0</vt:i4>
      </vt:variant>
      <vt:variant>
        <vt:i4>5</vt:i4>
      </vt:variant>
      <vt:variant>
        <vt:lpwstr/>
      </vt:variant>
      <vt:variant>
        <vt:lpwstr>_Toc14519</vt:lpwstr>
      </vt:variant>
      <vt:variant>
        <vt:i4>1048626</vt:i4>
      </vt:variant>
      <vt:variant>
        <vt:i4>38</vt:i4>
      </vt:variant>
      <vt:variant>
        <vt:i4>0</vt:i4>
      </vt:variant>
      <vt:variant>
        <vt:i4>5</vt:i4>
      </vt:variant>
      <vt:variant>
        <vt:lpwstr/>
      </vt:variant>
      <vt:variant>
        <vt:lpwstr>_Toc1235</vt:lpwstr>
      </vt:variant>
      <vt:variant>
        <vt:i4>2031668</vt:i4>
      </vt:variant>
      <vt:variant>
        <vt:i4>35</vt:i4>
      </vt:variant>
      <vt:variant>
        <vt:i4>0</vt:i4>
      </vt:variant>
      <vt:variant>
        <vt:i4>5</vt:i4>
      </vt:variant>
      <vt:variant>
        <vt:lpwstr/>
      </vt:variant>
      <vt:variant>
        <vt:lpwstr>_Toc5810</vt:lpwstr>
      </vt:variant>
      <vt:variant>
        <vt:i4>1507383</vt:i4>
      </vt:variant>
      <vt:variant>
        <vt:i4>32</vt:i4>
      </vt:variant>
      <vt:variant>
        <vt:i4>0</vt:i4>
      </vt:variant>
      <vt:variant>
        <vt:i4>5</vt:i4>
      </vt:variant>
      <vt:variant>
        <vt:lpwstr/>
      </vt:variant>
      <vt:variant>
        <vt:lpwstr>_Toc21518</vt:lpwstr>
      </vt:variant>
      <vt:variant>
        <vt:i4>1048635</vt:i4>
      </vt:variant>
      <vt:variant>
        <vt:i4>29</vt:i4>
      </vt:variant>
      <vt:variant>
        <vt:i4>0</vt:i4>
      </vt:variant>
      <vt:variant>
        <vt:i4>5</vt:i4>
      </vt:variant>
      <vt:variant>
        <vt:lpwstr/>
      </vt:variant>
      <vt:variant>
        <vt:lpwstr>_Toc30870</vt:lpwstr>
      </vt:variant>
      <vt:variant>
        <vt:i4>1114161</vt:i4>
      </vt:variant>
      <vt:variant>
        <vt:i4>26</vt:i4>
      </vt:variant>
      <vt:variant>
        <vt:i4>0</vt:i4>
      </vt:variant>
      <vt:variant>
        <vt:i4>5</vt:i4>
      </vt:variant>
      <vt:variant>
        <vt:lpwstr/>
      </vt:variant>
      <vt:variant>
        <vt:lpwstr>_Toc20360</vt:lpwstr>
      </vt:variant>
      <vt:variant>
        <vt:i4>1507383</vt:i4>
      </vt:variant>
      <vt:variant>
        <vt:i4>23</vt:i4>
      </vt:variant>
      <vt:variant>
        <vt:i4>0</vt:i4>
      </vt:variant>
      <vt:variant>
        <vt:i4>5</vt:i4>
      </vt:variant>
      <vt:variant>
        <vt:lpwstr/>
      </vt:variant>
      <vt:variant>
        <vt:lpwstr>_Toc26564</vt:lpwstr>
      </vt:variant>
      <vt:variant>
        <vt:i4>1310771</vt:i4>
      </vt:variant>
      <vt:variant>
        <vt:i4>20</vt:i4>
      </vt:variant>
      <vt:variant>
        <vt:i4>0</vt:i4>
      </vt:variant>
      <vt:variant>
        <vt:i4>5</vt:i4>
      </vt:variant>
      <vt:variant>
        <vt:lpwstr/>
      </vt:variant>
      <vt:variant>
        <vt:lpwstr>_Toc13201</vt:lpwstr>
      </vt:variant>
      <vt:variant>
        <vt:i4>1114160</vt:i4>
      </vt:variant>
      <vt:variant>
        <vt:i4>17</vt:i4>
      </vt:variant>
      <vt:variant>
        <vt:i4>0</vt:i4>
      </vt:variant>
      <vt:variant>
        <vt:i4>5</vt:i4>
      </vt:variant>
      <vt:variant>
        <vt:lpwstr/>
      </vt:variant>
      <vt:variant>
        <vt:lpwstr>_Toc12142</vt:lpwstr>
      </vt:variant>
      <vt:variant>
        <vt:i4>1245233</vt:i4>
      </vt:variant>
      <vt:variant>
        <vt:i4>14</vt:i4>
      </vt:variant>
      <vt:variant>
        <vt:i4>0</vt:i4>
      </vt:variant>
      <vt:variant>
        <vt:i4>5</vt:i4>
      </vt:variant>
      <vt:variant>
        <vt:lpwstr/>
      </vt:variant>
      <vt:variant>
        <vt:lpwstr>_Toc25314</vt:lpwstr>
      </vt:variant>
      <vt:variant>
        <vt:i4>1638449</vt:i4>
      </vt:variant>
      <vt:variant>
        <vt:i4>11</vt:i4>
      </vt:variant>
      <vt:variant>
        <vt:i4>0</vt:i4>
      </vt:variant>
      <vt:variant>
        <vt:i4>5</vt:i4>
      </vt:variant>
      <vt:variant>
        <vt:lpwstr/>
      </vt:variant>
      <vt:variant>
        <vt:lpwstr>_Toc29374</vt:lpwstr>
      </vt:variant>
      <vt:variant>
        <vt:i4>1507383</vt:i4>
      </vt:variant>
      <vt:variant>
        <vt:i4>8</vt:i4>
      </vt:variant>
      <vt:variant>
        <vt:i4>0</vt:i4>
      </vt:variant>
      <vt:variant>
        <vt:i4>5</vt:i4>
      </vt:variant>
      <vt:variant>
        <vt:lpwstr/>
      </vt:variant>
      <vt:variant>
        <vt:lpwstr>_Toc2151</vt:lpwstr>
      </vt:variant>
      <vt:variant>
        <vt:i4>1114166</vt:i4>
      </vt:variant>
      <vt:variant>
        <vt:i4>5</vt:i4>
      </vt:variant>
      <vt:variant>
        <vt:i4>0</vt:i4>
      </vt:variant>
      <vt:variant>
        <vt:i4>5</vt:i4>
      </vt:variant>
      <vt:variant>
        <vt:lpwstr/>
      </vt:variant>
      <vt:variant>
        <vt:lpwstr>_Toc30567</vt:lpwstr>
      </vt:variant>
      <vt:variant>
        <vt:i4>1310768</vt:i4>
      </vt:variant>
      <vt:variant>
        <vt:i4>2</vt:i4>
      </vt:variant>
      <vt:variant>
        <vt:i4>0</vt:i4>
      </vt:variant>
      <vt:variant>
        <vt:i4>5</vt:i4>
      </vt:variant>
      <vt:variant>
        <vt:lpwstr/>
      </vt:variant>
      <vt:variant>
        <vt:lpwstr>_Toc32314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Administrator</cp:lastModifiedBy>
  <cp:revision>7</cp:revision>
  <dcterms:created xsi:type="dcterms:W3CDTF">2020-09-08T14:04:00Z</dcterms:created>
  <dcterms:modified xsi:type="dcterms:W3CDTF">2020-09-11T10:42:00Z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