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喀什地区农经局农村土地流转及三权分置项目支出绩效评价报告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hint="eastAsia" w:hAnsi="宋体" w:eastAsia="仿宋_GB2312" w:cs="宋体"/>
          <w:color w:val="000000" w:themeColor="text1"/>
          <w:kern w:val="0"/>
          <w:sz w:val="36"/>
          <w:szCs w:val="36"/>
        </w:rPr>
        <w:t>农村土地流转及三权分置项目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实施单位：喀什地区农村合作经济经营管理局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评价部门：喀什地区农村合作经济经营管理局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2"/>
        <w:numPr>
          <w:ilvl w:val="0"/>
          <w:numId w:val="2"/>
        </w:numPr>
        <w:ind w:firstLineChars="0"/>
      </w:pPr>
      <w:r>
        <w:rPr>
          <w:rFonts w:hint="eastAsia"/>
        </w:rPr>
        <w:t>基本情况</w:t>
      </w:r>
    </w:p>
    <w:p>
      <w:pPr>
        <w:pStyle w:val="24"/>
        <w:ind w:left="0" w:firstLine="643" w:firstLineChars="200"/>
      </w:pPr>
      <w:bookmarkStart w:id="0" w:name="_Toc26401549"/>
      <w:r>
        <w:rPr>
          <w:rFonts w:hint="eastAsia"/>
        </w:rPr>
        <w:t>项目概况</w:t>
      </w:r>
      <w:bookmarkEnd w:id="0"/>
    </w:p>
    <w:p>
      <w:pPr>
        <w:pStyle w:val="18"/>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Style w:val="18"/>
        <w:adjustRightInd w:val="0"/>
        <w:snapToGrid w:val="0"/>
        <w:spacing w:before="9" w:line="500" w:lineRule="exact"/>
        <w:ind w:firstLine="640"/>
        <w:rPr>
          <w:rFonts w:ascii="仿宋_GB2312" w:hAnsi="仿宋" w:eastAsia="仿宋_GB2312" w:cs="宋体"/>
          <w:sz w:val="32"/>
          <w:szCs w:val="32"/>
        </w:rPr>
      </w:pPr>
      <w:r>
        <w:rPr>
          <w:rFonts w:hint="eastAsia" w:ascii="仿宋_GB2312" w:hAnsi="仿宋" w:eastAsia="仿宋_GB2312" w:cs="宋体"/>
          <w:sz w:val="32"/>
          <w:szCs w:val="32"/>
        </w:rPr>
        <w:t>根据自治区《关于推动农村土地所有权承包权经营权分置的实施意见》（新党办发【2018】29号）文件、自治区《关于推动农村土地所有权承包权经营权分置的实施意见》（新党办发【2018】29号）文件、关于印发《喀什地区关于推动农村土地所有权承包权经营权分置的实施方案》的通知（喀党办发【2018】26号）等文件精神，加快建立归属清晰、权能完整、流转顺畅、保护严格的农村土地产权制度，维护国家、集体、个人三者的根本利益，建立健全农村土地承包经营权流转监管体系。</w:t>
      </w:r>
    </w:p>
    <w:p>
      <w:pPr>
        <w:pStyle w:val="18"/>
        <w:adjustRightInd w:val="0"/>
        <w:snapToGrid w:val="0"/>
        <w:spacing w:before="9" w:line="500" w:lineRule="exact"/>
        <w:ind w:firstLine="640"/>
        <w:rPr>
          <w:rFonts w:ascii="仿宋_GB2312" w:hAnsi="仿宋" w:eastAsia="仿宋_GB2312" w:cs="宋体"/>
          <w:sz w:val="32"/>
          <w:szCs w:val="32"/>
        </w:rPr>
      </w:pPr>
      <w:r>
        <w:rPr>
          <w:rFonts w:hint="eastAsia" w:ascii="仿宋_GB2312" w:hAnsi="仿宋" w:eastAsia="仿宋_GB2312" w:cs="宋体"/>
          <w:sz w:val="32"/>
          <w:szCs w:val="32"/>
        </w:rPr>
        <w:t>1、项目主要内容及实施情况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项目实施前</w:t>
      </w:r>
      <w:r>
        <w:rPr>
          <w:rFonts w:hint="eastAsia" w:ascii="仿宋" w:hAnsi="仿宋" w:eastAsia="仿宋" w:cs="仿宋"/>
          <w:color w:val="000000" w:themeColor="text1"/>
          <w:spacing w:val="-4"/>
          <w:sz w:val="32"/>
          <w:szCs w:val="32"/>
        </w:rPr>
        <w:t>通过文件研读、实地调研、数据分析等方式，</w:t>
      </w:r>
      <w:r>
        <w:rPr>
          <w:rFonts w:hint="eastAsia" w:ascii="仿宋_GB2312" w:hAnsi="仿宋" w:eastAsia="仿宋_GB2312" w:cs="宋体"/>
          <w:sz w:val="32"/>
          <w:szCs w:val="32"/>
        </w:rPr>
        <w:t>进行充分调研，制定了《喀什地区关于推动农村土地所有权承包权经营权分置的实施方案》，项目实施过程中严格按照实施方案进行实施并及时进行监督管理。</w:t>
      </w:r>
    </w:p>
    <w:p>
      <w:pPr>
        <w:tabs>
          <w:tab w:val="left" w:pos="7770"/>
        </w:tabs>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3.项目负责人为张占磊，主要职责为负责该项目具体实施工作。</w:t>
      </w:r>
    </w:p>
    <w:p>
      <w:pPr>
        <w:pStyle w:val="24"/>
        <w:ind w:left="0" w:firstLine="643" w:firstLineChars="200"/>
      </w:pPr>
      <w:bookmarkStart w:id="1" w:name="_Toc26401550"/>
      <w:r>
        <w:rPr>
          <w:rFonts w:hint="eastAsia"/>
        </w:rPr>
        <w:t>资金</w:t>
      </w:r>
      <w:bookmarkEnd w:id="1"/>
      <w:r>
        <w:rPr>
          <w:rFonts w:hint="eastAsia"/>
        </w:rPr>
        <w:t>投入和使用情况</w:t>
      </w:r>
    </w:p>
    <w:p>
      <w:pPr>
        <w:spacing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本项目总投资5.3万元，资金来源为地区财政预算资金5.3万元。</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农村土地流转及三权分置项目资金的使用范围：督察调研指导、培训宣传工作经费。</w:t>
      </w:r>
    </w:p>
    <w:p>
      <w:pPr>
        <w:adjustRightInd w:val="0"/>
        <w:snapToGrid w:val="0"/>
        <w:spacing w:line="560" w:lineRule="exact"/>
        <w:ind w:firstLine="640" w:firstLineChars="200"/>
        <w:rPr>
          <w:rStyle w:val="15"/>
          <w:rFonts w:ascii="仿宋" w:hAnsi="仿宋" w:eastAsia="仿宋"/>
          <w:b w:val="0"/>
          <w:bCs w:val="0"/>
          <w:color w:val="000000" w:themeColor="text1"/>
          <w:spacing w:val="-4"/>
          <w:sz w:val="32"/>
          <w:szCs w:val="32"/>
        </w:rPr>
      </w:pPr>
      <w:r>
        <w:rPr>
          <w:rFonts w:hint="eastAsia" w:ascii="仿宋_GB2312" w:hAnsi="仿宋" w:eastAsia="仿宋_GB2312" w:cs="宋体"/>
          <w:sz w:val="32"/>
          <w:szCs w:val="32"/>
        </w:rPr>
        <w:t>地区农经局制定了</w:t>
      </w:r>
      <w:bookmarkStart w:id="2" w:name="_Toc26401551"/>
      <w:r>
        <w:rPr>
          <w:rFonts w:hint="eastAsia" w:ascii="仿宋" w:hAnsi="仿宋" w:eastAsia="仿宋"/>
          <w:bCs/>
          <w:color w:val="000000" w:themeColor="text1"/>
          <w:spacing w:val="-4"/>
          <w:sz w:val="32"/>
          <w:szCs w:val="32"/>
        </w:rPr>
        <w:t>地区农经局财务管理制度，按照制度和地区财政资金管理制度支付资金；资金的支付有完整的审批程序和手续符合制度要求；不存在截留、挤占、挪用、虚列支出等情况。</w:t>
      </w:r>
    </w:p>
    <w:p>
      <w:pPr>
        <w:spacing w:beforeLines="50" w:line="600" w:lineRule="exact"/>
        <w:ind w:firstLine="627" w:firstLineChars="200"/>
        <w:rPr>
          <w:rFonts w:ascii="仿宋" w:hAnsi="仿宋" w:eastAsia="仿宋"/>
          <w:b/>
          <w:bCs/>
          <w:color w:val="000000" w:themeColor="text1"/>
          <w:spacing w:val="-4"/>
          <w:sz w:val="32"/>
          <w:szCs w:val="32"/>
        </w:rPr>
      </w:pPr>
      <w:r>
        <w:rPr>
          <w:rFonts w:hint="eastAsia" w:ascii="仿宋" w:hAnsi="仿宋" w:eastAsia="仿宋"/>
          <w:b/>
          <w:bCs/>
          <w:color w:val="000000" w:themeColor="text1"/>
          <w:spacing w:val="-4"/>
          <w:sz w:val="32"/>
          <w:szCs w:val="32"/>
        </w:rPr>
        <w:t>绩效目标</w:t>
      </w:r>
      <w:bookmarkEnd w:id="2"/>
    </w:p>
    <w:p>
      <w:pPr>
        <w:adjustRightInd w:val="0"/>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w:t>
      </w:r>
      <w:r>
        <w:rPr>
          <w:rFonts w:hint="eastAsia" w:ascii="仿宋" w:hAnsi="仿宋" w:eastAsia="仿宋"/>
          <w:bCs/>
          <w:color w:val="000000" w:themeColor="text1"/>
          <w:spacing w:val="-4"/>
          <w:sz w:val="32"/>
          <w:szCs w:val="32"/>
        </w:rPr>
        <w:t>为：通过农村土地流转及三权分置项目对全地区土地流转进行指导、服务，及时解决流转中存在的疑难问题。开展土地流转培训2次，指导建设县级农村产权流转平台2个。</w:t>
      </w:r>
    </w:p>
    <w:p>
      <w:pPr>
        <w:spacing w:beforeLines="50" w:line="600" w:lineRule="exact"/>
        <w:rPr>
          <w:rFonts w:ascii="仿宋_GB2312" w:hAnsi="仿宋" w:eastAsia="仿宋_GB2312" w:cs="宋体"/>
          <w:sz w:val="32"/>
          <w:szCs w:val="32"/>
        </w:rPr>
      </w:pP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级指标3个，二级指标9个，三级指标13个，绩效目标申报表详见附件1。</w:t>
      </w:r>
    </w:p>
    <w:p>
      <w:pPr>
        <w:pStyle w:val="22"/>
        <w:numPr>
          <w:ilvl w:val="0"/>
          <w:numId w:val="2"/>
        </w:numPr>
        <w:ind w:firstLineChars="0"/>
      </w:pPr>
      <w:bookmarkStart w:id="3" w:name="_Toc26401552"/>
      <w:r>
        <w:rPr>
          <w:rFonts w:hint="eastAsia"/>
        </w:rPr>
        <w:t>评价工作简述</w:t>
      </w:r>
      <w:bookmarkEnd w:id="3"/>
    </w:p>
    <w:p>
      <w:pPr>
        <w:pStyle w:val="24"/>
        <w:numPr>
          <w:ilvl w:val="0"/>
          <w:numId w:val="4"/>
        </w:numPr>
        <w:ind w:left="0" w:firstLine="643" w:firstLineChars="200"/>
      </w:pPr>
      <w:bookmarkStart w:id="4" w:name="_Toc26401553"/>
      <w:r>
        <w:rPr>
          <w:rFonts w:hint="eastAsia"/>
        </w:rPr>
        <w:t>评价目的</w:t>
      </w:r>
      <w:bookmarkEnd w:id="4"/>
    </w:p>
    <w:p>
      <w:pPr>
        <w:widowControl/>
        <w:snapToGrid w:val="0"/>
        <w:spacing w:line="560" w:lineRule="atLeast"/>
        <w:ind w:firstLine="640"/>
        <w:rPr>
          <w:rFonts w:ascii="仿宋_GB2312" w:hAnsi="仿宋" w:eastAsia="仿宋_GB2312"/>
          <w:spacing w:val="-4"/>
          <w:kern w:val="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旨在评价项目实施前期、过程及效果，评价财政预算资金使用的效率及效益。</w:t>
      </w:r>
      <w:r>
        <w:rPr>
          <w:rFonts w:hint="eastAsia" w:ascii="仿宋_GB2312" w:hAnsi="仿宋" w:eastAsia="仿宋_GB2312"/>
          <w:spacing w:val="-4"/>
          <w:kern w:val="0"/>
          <w:sz w:val="32"/>
          <w:szCs w:val="32"/>
        </w:rPr>
        <w:t>本次评价通过文件研读、实地调研、数据分析等方式，全面了解我单位项目资金的使用效率和效果，项目管理过程规范，完成了预期绩效目标。同时，通过开展自我评价来总结经验和教训，为地区农经局今后更好实施项目工作提供参考建议。</w:t>
      </w:r>
    </w:p>
    <w:p>
      <w:pPr>
        <w:pStyle w:val="24"/>
        <w:numPr>
          <w:ilvl w:val="0"/>
          <w:numId w:val="4"/>
        </w:numPr>
        <w:ind w:left="0" w:firstLine="643" w:firstLineChars="200"/>
      </w:pPr>
      <w:r>
        <w:rPr>
          <w:rFonts w:hint="eastAsia"/>
        </w:rPr>
        <w:t>本次绩效评价的对象及范围</w:t>
      </w:r>
      <w:bookmarkStart w:id="5" w:name="_Toc26401554"/>
    </w:p>
    <w:p>
      <w:pPr>
        <w:spacing w:beforeLines="50" w:line="600" w:lineRule="exact"/>
        <w:ind w:firstLine="624" w:firstLineChars="200"/>
        <w:rPr>
          <w:rFonts w:ascii="仿宋_GB2312" w:hAnsi="仿宋" w:eastAsia="仿宋_GB2312" w:cs="宋体"/>
          <w:sz w:val="32"/>
          <w:szCs w:val="32"/>
        </w:rPr>
      </w:pPr>
      <w:r>
        <w:rPr>
          <w:rFonts w:hint="eastAsia" w:ascii="仿宋_GB2312" w:hAnsi="仿宋" w:eastAsia="仿宋_GB2312"/>
          <w:spacing w:val="-4"/>
          <w:kern w:val="0"/>
          <w:sz w:val="32"/>
          <w:szCs w:val="32"/>
        </w:rPr>
        <w:t>本次评价对象为农村土地流转及三权分置项目资金，评价范围包括财政资金的安排、组织及使用效益</w:t>
      </w:r>
      <w:r>
        <w:rPr>
          <w:rFonts w:hint="eastAsia" w:ascii="仿宋_GB2312" w:hAnsi="仿宋" w:eastAsia="仿宋_GB2312" w:cs="宋体"/>
          <w:sz w:val="32"/>
          <w:szCs w:val="32"/>
        </w:rPr>
        <w:t>。</w:t>
      </w:r>
    </w:p>
    <w:p>
      <w:pPr>
        <w:pStyle w:val="24"/>
        <w:numPr>
          <w:ilvl w:val="0"/>
          <w:numId w:val="4"/>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4"/>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4"/>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4"/>
        <w:numPr>
          <w:ilvl w:val="0"/>
          <w:numId w:val="4"/>
        </w:numPr>
        <w:ind w:left="0" w:firstLine="643" w:firstLineChars="200"/>
      </w:pPr>
      <w:r>
        <w:rPr>
          <w:rFonts w:hint="eastAsia"/>
        </w:rPr>
        <w:t>本项目绩效评价体系</w:t>
      </w:r>
    </w:p>
    <w:p>
      <w:pPr>
        <w:pStyle w:val="24"/>
        <w:numPr>
          <w:ilvl w:val="0"/>
          <w:numId w:val="0"/>
        </w:numPr>
        <w:ind w:firstLine="640" w:firstLineChars="200"/>
        <w:rPr>
          <w:rFonts w:hAnsi="仿宋" w:cs="宋体"/>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w:t>
      </w:r>
      <w:r>
        <w:rPr>
          <w:rFonts w:hint="eastAsia" w:hAnsi="仿宋" w:cs="宋体"/>
          <w:b w:val="0"/>
        </w:rPr>
        <w:t>置，详见附件4。</w:t>
      </w:r>
    </w:p>
    <w:p>
      <w:pPr>
        <w:pStyle w:val="24"/>
        <w:keepNext w:val="0"/>
        <w:keepLines w:val="0"/>
        <w:numPr>
          <w:ilvl w:val="0"/>
          <w:numId w:val="4"/>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本次绩效评价方法的选用坚持简便有效的原则，采用成本效益分析法、比较法、因素分析法、最低成本法、问卷调查法。</w:t>
      </w:r>
    </w:p>
    <w:p>
      <w:pPr>
        <w:pStyle w:val="24"/>
        <w:keepNext w:val="0"/>
        <w:keepLines w:val="0"/>
        <w:numPr>
          <w:ilvl w:val="0"/>
          <w:numId w:val="4"/>
        </w:numPr>
        <w:ind w:left="0" w:firstLine="643" w:firstLineChars="200"/>
      </w:pPr>
      <w:r>
        <w:rPr>
          <w:rFonts w:hint="eastAsia"/>
        </w:rPr>
        <w:t>评价标准</w:t>
      </w:r>
    </w:p>
    <w:p>
      <w:pPr>
        <w:pStyle w:val="24"/>
        <w:keepNext w:val="0"/>
        <w:keepLines w:val="0"/>
        <w:numPr>
          <w:ilvl w:val="0"/>
          <w:numId w:val="0"/>
        </w:numPr>
        <w:ind w:firstLine="645"/>
        <w:rPr>
          <w:rFonts w:hAnsi="仿宋" w:cs="宋体"/>
          <w:b w:val="0"/>
          <w:bCs w:val="0"/>
        </w:rPr>
      </w:pPr>
      <w:r>
        <w:rPr>
          <w:rFonts w:hint="eastAsia" w:hAnsi="仿宋" w:cs="宋体"/>
          <w:b w:val="0"/>
          <w:bCs w:val="0"/>
        </w:rPr>
        <w:t>项目评价标准采用计划标准、行业标准、历史标准。</w:t>
      </w:r>
    </w:p>
    <w:p>
      <w:pPr>
        <w:pStyle w:val="24"/>
        <w:keepNext w:val="0"/>
        <w:keepLines w:val="0"/>
        <w:numPr>
          <w:ilvl w:val="0"/>
          <w:numId w:val="0"/>
        </w:numPr>
        <w:ind w:firstLine="645"/>
      </w:pPr>
      <w:r>
        <w:rPr>
          <w:rFonts w:hint="eastAsia"/>
        </w:rPr>
        <w:t>绩效评价工作过程</w:t>
      </w:r>
    </w:p>
    <w:p>
      <w:pPr>
        <w:pStyle w:val="24"/>
        <w:keepNext w:val="0"/>
        <w:keepLines w:val="0"/>
        <w:numPr>
          <w:ilvl w:val="0"/>
          <w:numId w:val="0"/>
        </w:numPr>
        <w:ind w:firstLine="640" w:firstLineChars="200"/>
        <w:outlineLvl w:val="9"/>
        <w:rPr>
          <w:b w:val="0"/>
          <w:bCs w:val="0"/>
        </w:rPr>
      </w:pPr>
      <w:r>
        <w:rPr>
          <w:rFonts w:hint="eastAsia"/>
          <w:b w:val="0"/>
          <w:bCs w:val="0"/>
        </w:rPr>
        <w:t>本次评价成立了评价工作组，成员如下：</w:t>
      </w:r>
    </w:p>
    <w:tbl>
      <w:tblPr>
        <w:tblStyle w:val="13"/>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耿勇</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b w:val="0"/>
                <w:bCs w:val="0"/>
              </w:rPr>
              <w:t>张占磊</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b w:val="0"/>
                <w:bCs w:val="0"/>
              </w:rPr>
              <w:t>科员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杨坤</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科员</w:t>
            </w:r>
          </w:p>
        </w:tc>
      </w:tr>
    </w:tbl>
    <w:p>
      <w:pPr>
        <w:pStyle w:val="24"/>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2"/>
        <w:numPr>
          <w:ilvl w:val="0"/>
          <w:numId w:val="2"/>
        </w:numPr>
        <w:ind w:firstLineChars="0"/>
        <w:rPr>
          <w:color w:val="FF0000"/>
        </w:rPr>
      </w:pPr>
      <w:bookmarkStart w:id="7" w:name="_Toc26401558"/>
      <w:r>
        <w:rPr>
          <w:rFonts w:hint="eastAsia" w:ascii="黑体" w:hAnsi="黑体"/>
          <w:color w:val="000000" w:themeColor="text1"/>
        </w:rPr>
        <w:t>综合</w:t>
      </w:r>
      <w:r>
        <w:rPr>
          <w:rFonts w:hint="eastAsia" w:ascii="黑体" w:hAnsi="黑体"/>
        </w:rPr>
        <w:t>评价情况及评价结论</w:t>
      </w:r>
    </w:p>
    <w:p>
      <w:pPr>
        <w:pStyle w:val="22"/>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经评价组通过实地调研、资料分析等方式，采用综合分析法、成本效益分析法、最低成本法等对项目的决策、管理、绩效进行的综合评价分析，项目得分为97.5分，评价结果为优，详见附件6。</w:t>
      </w:r>
    </w:p>
    <w:p>
      <w:pPr>
        <w:pStyle w:val="22"/>
        <w:numPr>
          <w:ilvl w:val="0"/>
          <w:numId w:val="2"/>
        </w:numPr>
        <w:ind w:firstLineChars="0"/>
      </w:pPr>
      <w:r>
        <w:rPr>
          <w:rFonts w:hint="eastAsia"/>
        </w:rPr>
        <w:t>绩效评价指标分析</w:t>
      </w:r>
      <w:bookmarkEnd w:id="7"/>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7"/>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本项目的立项符合相关法规政策及部门职责，依据充分；项目按照规定的程序申请设立；审批文件、材料符合相关要求。</w:t>
      </w:r>
    </w:p>
    <w:p>
      <w:pPr>
        <w:pStyle w:val="27"/>
        <w:ind w:firstLine="640"/>
        <w:rPr>
          <w:rFonts w:ascii="仿宋_GB2312" w:hAnsi="仿宋" w:cs="宋体"/>
          <w:sz w:val="32"/>
          <w:szCs w:val="32"/>
        </w:rPr>
      </w:pPr>
      <w:r>
        <w:rPr>
          <w:rFonts w:hint="eastAsia" w:ascii="仿宋_GB2312" w:hAnsi="仿宋" w:cs="宋体"/>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在项目组织实施方面，项目单位已制定或具有相应的财务和业务管理制度，财务和业务管理制度合法、合规、完整。项目实施遵守相关法律法规和相关管理规定。</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数量为土地流转调研次数，预期指标值为2次，实际完成值为2次，指标达到预期目标；土地流转及三权分置培训1次，实际完成值为0次，未达到预期目标，原因系因脱贫攻坚任务繁重，没能抽出合适的时间培训，结余资金财政已收回。</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项目产出质量为培训合格率，预期指标值为≥95</w:t>
      </w:r>
      <w:r>
        <w:rPr>
          <w:rFonts w:ascii="仿宋_GB2312" w:eastAsia="仿宋_GB2312"/>
          <w:sz w:val="32"/>
          <w:szCs w:val="32"/>
        </w:rPr>
        <w:t>%</w:t>
      </w:r>
      <w:r>
        <w:rPr>
          <w:rFonts w:hint="eastAsia" w:ascii="仿宋_GB2312" w:eastAsia="仿宋_GB2312"/>
          <w:sz w:val="32"/>
          <w:szCs w:val="32"/>
        </w:rPr>
        <w:t>，实际完成值为0，指标未达到预期目标，原因系因脱贫攻坚任务繁重，没能抽出合适的时间培训，结余资金财政已收回。土地流转率</w:t>
      </w:r>
      <w:r>
        <w:rPr>
          <w:rFonts w:ascii="仿宋_GB2312" w:eastAsia="仿宋_GB2312"/>
          <w:sz w:val="32"/>
          <w:szCs w:val="32"/>
        </w:rPr>
        <w:t>，</w:t>
      </w:r>
      <w:r>
        <w:rPr>
          <w:rFonts w:hint="eastAsia" w:ascii="仿宋_GB2312" w:eastAsia="仿宋_GB2312"/>
          <w:sz w:val="32"/>
          <w:szCs w:val="32"/>
        </w:rPr>
        <w:t>预期指标值为≥10</w:t>
      </w:r>
      <w:r>
        <w:rPr>
          <w:rFonts w:ascii="仿宋_GB2312" w:eastAsia="仿宋_GB2312"/>
          <w:sz w:val="32"/>
          <w:szCs w:val="32"/>
        </w:rPr>
        <w:t>%</w:t>
      </w:r>
      <w:r>
        <w:rPr>
          <w:rFonts w:hint="eastAsia" w:ascii="仿宋_GB2312" w:eastAsia="仿宋_GB2312"/>
          <w:sz w:val="32"/>
          <w:szCs w:val="32"/>
        </w:rPr>
        <w:t>，实际完成值为12%，指标达到预期目标。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项目产出时效为按时完成率，预期指标值为100%，实际完成值为100%，达到预期目标；项目完成时限，预期指标值为2019年12月底，实际完成值为100%，达到预期目标。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项目产出成本指标为土地流转及三权分置培训办公经费，预期指标值为2.3万元，实际完成值为2.3万元，达到预期目标；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土地流转及三权分置培训预期指标值为2.3万元，实际完成值为0，指标未达到预期目标，原因系因脱贫攻坚任务繁重，没能抽出合适的时间培训，结余资金财政已收回。</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项目实施产生的经济效益</w:t>
      </w:r>
      <w:r>
        <w:rPr>
          <w:rFonts w:hint="eastAsia" w:ascii="仿宋_GB2312" w:eastAsia="仿宋_GB2312"/>
          <w:sz w:val="32"/>
          <w:szCs w:val="32"/>
        </w:rPr>
        <w:t>指标为农民离开土地增加就业收入和土地流转收入，预期指标值为≥</w:t>
      </w:r>
      <w:r>
        <w:rPr>
          <w:rFonts w:ascii="仿宋_GB2312" w:eastAsia="仿宋_GB2312"/>
          <w:sz w:val="32"/>
          <w:szCs w:val="32"/>
        </w:rPr>
        <w:t>3%</w:t>
      </w:r>
      <w:r>
        <w:rPr>
          <w:rFonts w:hint="eastAsia" w:ascii="仿宋_GB2312" w:eastAsia="仿宋_GB2312"/>
          <w:sz w:val="32"/>
          <w:szCs w:val="32"/>
        </w:rPr>
        <w:t>，实际完成值为</w:t>
      </w:r>
      <w:r>
        <w:rPr>
          <w:rFonts w:ascii="仿宋_GB2312" w:eastAsia="仿宋_GB2312"/>
          <w:sz w:val="32"/>
          <w:szCs w:val="32"/>
        </w:rPr>
        <w:t>3%</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指标为促进农村社会</w:t>
      </w:r>
      <w:r>
        <w:rPr>
          <w:rFonts w:hint="eastAsia" w:ascii="仿宋_GB2312" w:eastAsia="仿宋_GB2312"/>
          <w:sz w:val="32"/>
          <w:szCs w:val="32"/>
          <w:lang w:eastAsia="zh-CN"/>
        </w:rPr>
        <w:t>繁荣</w:t>
      </w:r>
      <w:r>
        <w:rPr>
          <w:rFonts w:hint="eastAsia" w:ascii="仿宋_GB2312" w:eastAsia="仿宋_GB2312"/>
          <w:sz w:val="32"/>
          <w:szCs w:val="32"/>
        </w:rPr>
        <w:t>和现代化建设，预期指标值为农村社会更加，实际完成值为100%</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项目实施产生的生态效</w:t>
      </w:r>
      <w:bookmarkStart w:id="8" w:name="_GoBack"/>
      <w:bookmarkEnd w:id="8"/>
      <w:r>
        <w:rPr>
          <w:rFonts w:hint="eastAsia" w:ascii="仿宋_GB2312" w:hAnsi="仿宋" w:eastAsia="仿宋_GB2312" w:cs="宋体"/>
          <w:bCs/>
          <w:sz w:val="32"/>
          <w:szCs w:val="32"/>
        </w:rPr>
        <w:t>益</w:t>
      </w:r>
      <w:r>
        <w:rPr>
          <w:rFonts w:hint="eastAsia" w:ascii="仿宋_GB2312" w:eastAsia="仿宋_GB2312"/>
          <w:sz w:val="32"/>
          <w:szCs w:val="32"/>
        </w:rPr>
        <w:t>指标为生态持续向好，预期指标值为持续向好，实际完成值为100%</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项目的可持续效益</w:t>
      </w:r>
      <w:r>
        <w:rPr>
          <w:rFonts w:hint="eastAsia" w:ascii="仿宋_GB2312" w:eastAsia="仿宋_GB2312"/>
          <w:sz w:val="32"/>
          <w:szCs w:val="32"/>
        </w:rPr>
        <w:t>指标为农村土地流转及三权分置，预期指标值为持续土地流转，实际完成值为100%</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经问卷调查，项目受益群众满意度为：95%，达到了预期目标。</w:t>
      </w:r>
    </w:p>
    <w:p>
      <w:pPr>
        <w:pStyle w:val="22"/>
        <w:numPr>
          <w:ilvl w:val="0"/>
          <w:numId w:val="2"/>
        </w:numPr>
        <w:ind w:firstLineChars="0"/>
      </w:pPr>
      <w:r>
        <w:rPr>
          <w:rFonts w:hint="eastAsia" w:ascii="黑体" w:hAnsi="黑体"/>
        </w:rPr>
        <w:t>主要经验及做法、存在的问题及原因分析</w:t>
      </w:r>
    </w:p>
    <w:p>
      <w:pPr>
        <w:pStyle w:val="24"/>
        <w:numPr>
          <w:ilvl w:val="0"/>
          <w:numId w:val="7"/>
        </w:numPr>
        <w:ind w:left="0" w:firstLine="643" w:firstLineChars="200"/>
      </w:pPr>
      <w:r>
        <w:rPr>
          <w:rFonts w:hint="eastAsia"/>
        </w:rPr>
        <w:t>主要经验及做法</w:t>
      </w:r>
    </w:p>
    <w:p>
      <w:pPr>
        <w:pStyle w:val="24"/>
        <w:numPr>
          <w:ilvl w:val="0"/>
          <w:numId w:val="0"/>
        </w:numPr>
        <w:ind w:firstLine="640" w:firstLineChars="200"/>
        <w:rPr>
          <w:b w:val="0"/>
        </w:rPr>
      </w:pPr>
      <w:r>
        <w:rPr>
          <w:rFonts w:hint="eastAsia"/>
          <w:b w:val="0"/>
        </w:rPr>
        <w:t>本项目实施效果较好的原因主要是管理制度完善、责任落实到位，跟踪考核机制完善且运行有效，在项目执行过程中资金安排有条不紊，严格执行资金安排合理，使用过程严格把关，没有超预算。</w:t>
      </w:r>
    </w:p>
    <w:p>
      <w:pPr>
        <w:pStyle w:val="24"/>
        <w:numPr>
          <w:ilvl w:val="0"/>
          <w:numId w:val="7"/>
        </w:numPr>
        <w:ind w:left="0" w:firstLine="643" w:firstLineChars="200"/>
      </w:pPr>
      <w:r>
        <w:rPr>
          <w:rFonts w:hint="eastAsia"/>
        </w:rPr>
        <w:t>存在的问题及原因分析</w:t>
      </w:r>
    </w:p>
    <w:p>
      <w:pPr>
        <w:widowControl/>
        <w:snapToGrid w:val="0"/>
        <w:spacing w:line="560" w:lineRule="atLeast"/>
        <w:ind w:firstLine="640"/>
        <w:rPr>
          <w:rFonts w:ascii="仿宋_GB2312" w:hAnsi="宋体" w:eastAsia="仿宋_GB2312"/>
          <w:bCs/>
          <w:spacing w:val="11"/>
          <w:sz w:val="32"/>
          <w:szCs w:val="32"/>
        </w:rPr>
      </w:pPr>
      <w:r>
        <w:rPr>
          <w:rFonts w:hint="eastAsia" w:ascii="仿宋_GB2312" w:hAnsi="宋体" w:eastAsia="仿宋_GB2312"/>
          <w:spacing w:val="11"/>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24"/>
        <w:numPr>
          <w:ilvl w:val="0"/>
          <w:numId w:val="0"/>
        </w:numPr>
        <w:ind w:firstLine="643" w:firstLineChars="200"/>
        <w:rPr>
          <w:rFonts w:ascii="黑体" w:hAnsi="黑体"/>
        </w:rPr>
      </w:pPr>
      <w:r>
        <w:rPr>
          <w:rFonts w:hint="eastAsia" w:ascii="黑体" w:hAnsi="黑体"/>
        </w:rPr>
        <w:t>（三）有关建议</w:t>
      </w:r>
    </w:p>
    <w:p>
      <w:pPr>
        <w:widowControl/>
        <w:snapToGrid w:val="0"/>
        <w:spacing w:line="560" w:lineRule="atLeast"/>
        <w:ind w:firstLine="640"/>
        <w:rPr>
          <w:rFonts w:ascii="仿宋_GB2312" w:hAnsi="宋体" w:eastAsia="仿宋_GB2312"/>
          <w:spacing w:val="8"/>
          <w:sz w:val="32"/>
          <w:szCs w:val="32"/>
        </w:rPr>
      </w:pPr>
      <w:r>
        <w:rPr>
          <w:rFonts w:hint="eastAsia" w:ascii="仿宋_GB2312" w:hAnsi="宋体" w:eastAsia="仿宋_GB2312"/>
          <w:bCs/>
          <w:spacing w:val="8"/>
          <w:sz w:val="32"/>
          <w:szCs w:val="32"/>
        </w:rPr>
        <w:t>一是项目建设的程序进一步规范。</w:t>
      </w:r>
      <w:r>
        <w:rPr>
          <w:rFonts w:hint="eastAsia" w:ascii="仿宋_GB2312" w:hAnsi="宋体" w:eastAsia="仿宋_GB2312"/>
          <w:spacing w:val="8"/>
          <w:sz w:val="32"/>
          <w:szCs w:val="32"/>
        </w:rPr>
        <w:t>项目前期做好可行性研究报告，更加细化实施方案，严格执行资金管理办法和财政资金管理制度，严格按照项目实施方案、招投标管理办法等稳步推进工作，各部门单位根据自己项目的特点进行总结。二是</w:t>
      </w:r>
      <w:r>
        <w:rPr>
          <w:rFonts w:hint="eastAsia" w:ascii="仿宋_GB2312" w:hAnsi="宋体" w:eastAsia="仿宋_GB2312"/>
          <w:bCs/>
          <w:spacing w:val="8"/>
          <w:sz w:val="32"/>
          <w:szCs w:val="32"/>
        </w:rPr>
        <w:t>项目评价资料有待进一步完善。</w:t>
      </w:r>
      <w:r>
        <w:rPr>
          <w:rFonts w:hint="eastAsia" w:ascii="仿宋_GB2312" w:hAnsi="宋体" w:eastAsia="仿宋_GB2312"/>
          <w:spacing w:val="8"/>
          <w:sz w:val="32"/>
          <w:szCs w:val="32"/>
        </w:rPr>
        <w:t>项目启动时同步做好档案的归纳与整理，及时整理、收集、汇总，健全档案资料。三是通过绩效管理，发现实施中存在漏洞。四是评价工作应从项目实施方案源头抓起，评价工作和意识应贯穿项目整个过程。</w:t>
      </w:r>
    </w:p>
    <w:p>
      <w:pPr>
        <w:pStyle w:val="22"/>
        <w:ind w:firstLine="643"/>
        <w:rPr>
          <w:rFonts w:ascii="黑体" w:hAnsi="黑体"/>
        </w:rPr>
      </w:pPr>
      <w:r>
        <w:rPr>
          <w:rFonts w:hint="eastAsia" w:ascii="黑体" w:hAnsi="黑体"/>
        </w:rPr>
        <w:t>六、其他需要说明的问题</w:t>
      </w:r>
    </w:p>
    <w:p>
      <w:pPr>
        <w:spacing w:beforeLines="50" w:line="600" w:lineRule="exact"/>
        <w:ind w:firstLine="624" w:firstLineChars="200"/>
        <w:rPr>
          <w:rFonts w:ascii="仿宋_GB2312" w:hAnsi="仿宋" w:eastAsia="仿宋_GB2312" w:cs="宋体"/>
          <w:sz w:val="32"/>
          <w:szCs w:val="32"/>
        </w:rPr>
      </w:pPr>
      <w:r>
        <w:rPr>
          <w:rFonts w:hint="eastAsia" w:ascii="仿宋_GB2312" w:hAnsi="仿宋" w:eastAsia="仿宋_GB2312"/>
          <w:spacing w:val="-4"/>
          <w:kern w:val="0"/>
          <w:sz w:val="32"/>
          <w:szCs w:val="32"/>
        </w:rPr>
        <w:t>无其他说明内容。</w:t>
      </w:r>
    </w:p>
    <w:p>
      <w:pPr>
        <w:spacing w:beforeLines="50" w:line="600" w:lineRule="exact"/>
        <w:ind w:firstLine="640" w:firstLineChars="200"/>
        <w:rPr>
          <w:rFonts w:ascii="仿宋_GB2312" w:hAnsi="仿宋" w:eastAsia="仿宋_GB2312" w:cs="宋体"/>
          <w:sz w:val="32"/>
          <w:szCs w:val="32"/>
        </w:rPr>
      </w:pP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附件1：喀什地区农经局农村土地流转及三权分置项目支出绩效目标申报表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附件2：喀什地区农经局农村土地流转及三权分置项目支出绩效目标监控表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附件3：喀什地区农经局农村土地流转及三权分置项目支出绩效自评表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附件4：喀什地区农经局农村土地流转及三权分置项目支出绩效评价指标体系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附件6：喀什地区农经局农村土地流转及三权分置项目支出绩效评价评分表</w:t>
      </w:r>
    </w:p>
    <w:p>
      <w:pPr>
        <w:spacing w:beforeLines="50" w:line="600" w:lineRule="exact"/>
        <w:ind w:firstLine="640" w:firstLineChars="200"/>
        <w:rPr>
          <w:rFonts w:ascii="仿宋_GB2312" w:hAnsi="仿宋" w:eastAsia="仿宋_GB2312" w:cs="宋体"/>
          <w:sz w:val="32"/>
          <w:szCs w:val="32"/>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color w:val="auto"/>
        <w:lang w:val="en-US"/>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97B09"/>
    <w:rsid w:val="000C3DA9"/>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65461"/>
    <w:rsid w:val="002A1BF4"/>
    <w:rsid w:val="002A7B8D"/>
    <w:rsid w:val="002B3A72"/>
    <w:rsid w:val="002C6231"/>
    <w:rsid w:val="002F7CDC"/>
    <w:rsid w:val="00324E56"/>
    <w:rsid w:val="00331AF1"/>
    <w:rsid w:val="003468D7"/>
    <w:rsid w:val="00351000"/>
    <w:rsid w:val="00363E52"/>
    <w:rsid w:val="00382736"/>
    <w:rsid w:val="003A04D1"/>
    <w:rsid w:val="003C327E"/>
    <w:rsid w:val="003C4B3D"/>
    <w:rsid w:val="003C6E7F"/>
    <w:rsid w:val="003E0E95"/>
    <w:rsid w:val="003E2159"/>
    <w:rsid w:val="003F1C70"/>
    <w:rsid w:val="003F2E47"/>
    <w:rsid w:val="00403544"/>
    <w:rsid w:val="004115AA"/>
    <w:rsid w:val="00434C92"/>
    <w:rsid w:val="00437F2D"/>
    <w:rsid w:val="00443C47"/>
    <w:rsid w:val="00452560"/>
    <w:rsid w:val="00467DBB"/>
    <w:rsid w:val="00477D50"/>
    <w:rsid w:val="004A0587"/>
    <w:rsid w:val="004C56AB"/>
    <w:rsid w:val="004D088E"/>
    <w:rsid w:val="004D4F06"/>
    <w:rsid w:val="00510334"/>
    <w:rsid w:val="005225F1"/>
    <w:rsid w:val="00531253"/>
    <w:rsid w:val="00540B36"/>
    <w:rsid w:val="00563E06"/>
    <w:rsid w:val="0058554B"/>
    <w:rsid w:val="00596DDF"/>
    <w:rsid w:val="005B250C"/>
    <w:rsid w:val="005B6EAB"/>
    <w:rsid w:val="005C2F8A"/>
    <w:rsid w:val="005D624B"/>
    <w:rsid w:val="005D7AC7"/>
    <w:rsid w:val="00605A45"/>
    <w:rsid w:val="00630E69"/>
    <w:rsid w:val="006362B2"/>
    <w:rsid w:val="0065420A"/>
    <w:rsid w:val="006869EC"/>
    <w:rsid w:val="00694A44"/>
    <w:rsid w:val="006C4F47"/>
    <w:rsid w:val="006D0AA4"/>
    <w:rsid w:val="006F2513"/>
    <w:rsid w:val="006F64CB"/>
    <w:rsid w:val="0071759F"/>
    <w:rsid w:val="007253B3"/>
    <w:rsid w:val="00731D46"/>
    <w:rsid w:val="00734BAD"/>
    <w:rsid w:val="00752C57"/>
    <w:rsid w:val="00781733"/>
    <w:rsid w:val="007C4507"/>
    <w:rsid w:val="007C5CF9"/>
    <w:rsid w:val="007D340B"/>
    <w:rsid w:val="007E6392"/>
    <w:rsid w:val="007F3C25"/>
    <w:rsid w:val="00811F2D"/>
    <w:rsid w:val="00815938"/>
    <w:rsid w:val="008226BA"/>
    <w:rsid w:val="00826399"/>
    <w:rsid w:val="00827DA6"/>
    <w:rsid w:val="00835103"/>
    <w:rsid w:val="00854416"/>
    <w:rsid w:val="00866F54"/>
    <w:rsid w:val="00883FF2"/>
    <w:rsid w:val="0089293E"/>
    <w:rsid w:val="00893E6C"/>
    <w:rsid w:val="008A29AB"/>
    <w:rsid w:val="008D7BC7"/>
    <w:rsid w:val="0090104C"/>
    <w:rsid w:val="00982B10"/>
    <w:rsid w:val="009C0267"/>
    <w:rsid w:val="009E26DC"/>
    <w:rsid w:val="009E5354"/>
    <w:rsid w:val="00A10F1E"/>
    <w:rsid w:val="00A12A0C"/>
    <w:rsid w:val="00A365D5"/>
    <w:rsid w:val="00A41DB8"/>
    <w:rsid w:val="00A43094"/>
    <w:rsid w:val="00A53361"/>
    <w:rsid w:val="00A5786D"/>
    <w:rsid w:val="00A60191"/>
    <w:rsid w:val="00A81609"/>
    <w:rsid w:val="00A85237"/>
    <w:rsid w:val="00A8724E"/>
    <w:rsid w:val="00AB07C5"/>
    <w:rsid w:val="00AE1FDF"/>
    <w:rsid w:val="00AE3042"/>
    <w:rsid w:val="00B03B29"/>
    <w:rsid w:val="00B16C8F"/>
    <w:rsid w:val="00B32FA4"/>
    <w:rsid w:val="00B36F46"/>
    <w:rsid w:val="00B47B13"/>
    <w:rsid w:val="00B53BE4"/>
    <w:rsid w:val="00B6063F"/>
    <w:rsid w:val="00B9042A"/>
    <w:rsid w:val="00BA0855"/>
    <w:rsid w:val="00BA65AD"/>
    <w:rsid w:val="00BC7696"/>
    <w:rsid w:val="00BD5F1B"/>
    <w:rsid w:val="00C2671D"/>
    <w:rsid w:val="00C563AA"/>
    <w:rsid w:val="00C71FF0"/>
    <w:rsid w:val="00C77259"/>
    <w:rsid w:val="00C77EB9"/>
    <w:rsid w:val="00C97E2D"/>
    <w:rsid w:val="00CA48B3"/>
    <w:rsid w:val="00CC3E57"/>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EA201B"/>
    <w:rsid w:val="00F0780F"/>
    <w:rsid w:val="00F16D54"/>
    <w:rsid w:val="00F6015C"/>
    <w:rsid w:val="00F75715"/>
    <w:rsid w:val="00FB2E2F"/>
    <w:rsid w:val="00FD300A"/>
    <w:rsid w:val="00FF137F"/>
    <w:rsid w:val="00FF6959"/>
    <w:rsid w:val="00FF6C14"/>
    <w:rsid w:val="01BE6316"/>
    <w:rsid w:val="098C7BB0"/>
    <w:rsid w:val="217F35A7"/>
    <w:rsid w:val="24E73B1F"/>
    <w:rsid w:val="26F03C06"/>
    <w:rsid w:val="2A547683"/>
    <w:rsid w:val="519D0A88"/>
    <w:rsid w:val="57964064"/>
    <w:rsid w:val="667765BF"/>
    <w:rsid w:val="7775238E"/>
    <w:rsid w:val="7A8638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rPr>
  </w:style>
  <w:style w:type="character" w:customStyle="1" w:styleId="17">
    <w:name w:val="标题 1 Char"/>
    <w:basedOn w:val="14"/>
    <w:link w:val="2"/>
    <w:qFormat/>
    <w:uiPriority w:val="9"/>
    <w:rPr>
      <w:rFonts w:ascii="Times New Roman" w:hAnsi="Times New Roman" w:eastAsia="黑体" w:cs="Arial"/>
      <w:b/>
      <w:bCs/>
      <w:kern w:val="44"/>
      <w:sz w:val="28"/>
      <w:szCs w:val="44"/>
    </w:rPr>
  </w:style>
  <w:style w:type="paragraph" w:styleId="18">
    <w:name w:val="List Paragraph"/>
    <w:basedOn w:val="1"/>
    <w:link w:val="36"/>
    <w:qFormat/>
    <w:uiPriority w:val="34"/>
    <w:pPr>
      <w:ind w:firstLine="420" w:firstLineChars="200"/>
    </w:pPr>
  </w:style>
  <w:style w:type="character" w:customStyle="1" w:styleId="19">
    <w:name w:val="页眉 Char"/>
    <w:basedOn w:val="14"/>
    <w:link w:val="8"/>
    <w:qFormat/>
    <w:uiPriority w:val="99"/>
    <w:rPr>
      <w:sz w:val="18"/>
      <w:szCs w:val="18"/>
    </w:rPr>
  </w:style>
  <w:style w:type="character" w:customStyle="1" w:styleId="20">
    <w:name w:val="页脚 Char"/>
    <w:basedOn w:val="14"/>
    <w:link w:val="7"/>
    <w:qFormat/>
    <w:uiPriority w:val="99"/>
    <w:rPr>
      <w:sz w:val="18"/>
      <w:szCs w:val="18"/>
    </w:rPr>
  </w:style>
  <w:style w:type="character" w:customStyle="1" w:styleId="21">
    <w:name w:val="批注框文本 Char"/>
    <w:basedOn w:val="14"/>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4"/>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4"/>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4"/>
    <w:link w:val="34"/>
    <w:unhideWhenUsed/>
    <w:qFormat/>
    <w:uiPriority w:val="0"/>
    <w:rPr>
      <w:rFonts w:ascii="MingLiU" w:hAnsi="MingLiU" w:eastAsia="MingLiU" w:cs="MingLiU"/>
      <w:sz w:val="20"/>
      <w:szCs w:val="20"/>
      <w:lang w:val="zh-TW" w:eastAsia="zh-TW" w:bidi="zh-TW"/>
    </w:rPr>
  </w:style>
  <w:style w:type="character" w:customStyle="1" w:styleId="36">
    <w:name w:val="列出段落 Char"/>
    <w:basedOn w:val="14"/>
    <w:link w:val="18"/>
    <w:qFormat/>
    <w:uiPriority w:val="34"/>
    <w:rPr>
      <w:rFonts w:asciiTheme="minorHAnsi" w:hAnsiTheme="minorHAnsi" w:eastAsiaTheme="minorEastAsia" w:cstheme="minorBid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003714-8FA5-4E45-901E-E96E5049A5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540</Words>
  <Characters>3080</Characters>
  <Lines>25</Lines>
  <Paragraphs>7</Paragraphs>
  <TotalTime>69</TotalTime>
  <ScaleCrop>false</ScaleCrop>
  <LinksUpToDate>false</LinksUpToDate>
  <CharactersWithSpaces>3613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2020-04-18T12:11:00Z</dcterms:created>
  <dc:creator>ThinkPad</dc:creator>
  <cp:lastModifiedBy>Administrator</cp:lastModifiedBy>
  <dcterms:modified xsi:type="dcterms:W3CDTF">2021-05-21T11:14:59Z</dcterms:modified>
  <dc:title>新疆普天鹏华商务信息咨询有限公司</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