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喀什地区动物卫生监督所项目支出绩效评价报告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line="700" w:lineRule="exact"/>
        <w:jc w:val="left"/>
        <w:rPr>
          <w:rFonts w:hAnsi="宋体" w:eastAsia="仿宋_GB2312" w:cs="宋体"/>
          <w:color w:val="000000"/>
          <w:kern w:val="0"/>
          <w:sz w:val="36"/>
          <w:szCs w:val="36"/>
        </w:rPr>
      </w:pPr>
      <w:r>
        <w:rPr>
          <w:rFonts w:hint="eastAsia" w:ascii="仿宋_GB2312" w:hAnsi="仿宋" w:eastAsia="仿宋_GB2312"/>
          <w:spacing w:val="-2"/>
          <w:sz w:val="36"/>
          <w:szCs w:val="36"/>
        </w:rPr>
        <w:t>项目名称：</w:t>
      </w:r>
      <w:r>
        <w:rPr>
          <w:rFonts w:hint="eastAsia" w:hAnsi="宋体" w:eastAsia="仿宋_GB2312" w:cs="宋体"/>
          <w:color w:val="000000"/>
          <w:kern w:val="0"/>
          <w:sz w:val="36"/>
          <w:szCs w:val="36"/>
        </w:rPr>
        <w:t>开展非洲猪瘟等重大疾病防控工作项目</w:t>
      </w:r>
    </w:p>
    <w:p>
      <w:pPr>
        <w:autoSpaceDE w:val="0"/>
        <w:autoSpaceDN w:val="0"/>
        <w:spacing w:line="540" w:lineRule="exact"/>
        <w:rPr>
          <w:rFonts w:ascii="仿宋_GB2312" w:hAnsi="仿宋" w:eastAsia="仿宋_GB2312"/>
          <w:spacing w:val="-2"/>
          <w:sz w:val="36"/>
          <w:szCs w:val="36"/>
        </w:rPr>
      </w:pPr>
      <w:r>
        <w:rPr>
          <w:rFonts w:hint="eastAsia" w:ascii="仿宋_GB2312" w:hAnsi="仿宋" w:eastAsia="仿宋_GB2312"/>
          <w:spacing w:val="-2"/>
          <w:sz w:val="36"/>
          <w:szCs w:val="36"/>
        </w:rPr>
        <w:t>实施单位：</w:t>
      </w:r>
      <w:r>
        <w:rPr>
          <w:rFonts w:hint="eastAsia" w:hAnsi="宋体" w:eastAsia="仿宋_GB2312" w:cs="宋体"/>
          <w:color w:val="000000"/>
          <w:kern w:val="0"/>
          <w:sz w:val="36"/>
          <w:szCs w:val="36"/>
        </w:rPr>
        <w:t>喀什地区动物卫生监督所</w:t>
      </w:r>
    </w:p>
    <w:p>
      <w:pPr>
        <w:autoSpaceDE w:val="0"/>
        <w:autoSpaceDN w:val="0"/>
        <w:spacing w:line="540" w:lineRule="exact"/>
        <w:rPr>
          <w:rFonts w:ascii="仿宋_GB2312" w:hAnsi="仿宋" w:eastAsia="仿宋_GB2312"/>
          <w:spacing w:val="-2"/>
          <w:sz w:val="36"/>
          <w:szCs w:val="36"/>
        </w:rPr>
      </w:pPr>
      <w:r>
        <w:rPr>
          <w:rFonts w:hint="eastAsia" w:ascii="仿宋_GB2312" w:hAnsi="仿宋" w:eastAsia="仿宋_GB2312"/>
          <w:spacing w:val="-2"/>
          <w:sz w:val="36"/>
          <w:szCs w:val="36"/>
        </w:rPr>
        <w:t>评价部门：</w:t>
      </w:r>
      <w:r>
        <w:rPr>
          <w:rFonts w:hint="eastAsia" w:hAnsi="宋体" w:eastAsia="仿宋_GB2312" w:cs="宋体"/>
          <w:color w:val="000000"/>
          <w:kern w:val="0"/>
          <w:sz w:val="36"/>
          <w:szCs w:val="36"/>
        </w:rPr>
        <w:t>喀什地区动物卫生监督所</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Lines="50" w:line="240" w:lineRule="atLeast"/>
        <w:jc w:val="left"/>
        <w:rPr>
          <w:rFonts w:eastAsia="Times New Roman"/>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4"/>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23"/>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本项目根据喀什地区财政局《开展非洲猪瘟等重大疾病防控工作项目预算（拨款通知）》</w:t>
      </w:r>
      <w:r>
        <w:rPr>
          <w:rFonts w:hint="eastAsia" w:ascii="仿宋_GB2312" w:hAnsi="仿宋" w:eastAsia="仿宋_GB2312" w:cs="宋体"/>
          <w:sz w:val="32"/>
          <w:szCs w:val="32"/>
          <w:highlight w:val="yellow"/>
        </w:rPr>
        <w:t>（喀地财建〔</w:t>
      </w:r>
      <w:r>
        <w:rPr>
          <w:rFonts w:ascii="仿宋_GB2312" w:hAnsi="仿宋" w:eastAsia="仿宋_GB2312" w:cs="宋体"/>
          <w:sz w:val="32"/>
          <w:szCs w:val="32"/>
          <w:highlight w:val="yellow"/>
        </w:rPr>
        <w:t>2019</w:t>
      </w:r>
      <w:r>
        <w:rPr>
          <w:rFonts w:hint="eastAsia" w:ascii="仿宋_GB2312" w:hAnsi="仿宋" w:eastAsia="仿宋_GB2312" w:cs="宋体"/>
          <w:sz w:val="32"/>
          <w:szCs w:val="32"/>
          <w:highlight w:val="yellow"/>
        </w:rPr>
        <w:t>〕</w:t>
      </w:r>
      <w:r>
        <w:rPr>
          <w:rFonts w:ascii="仿宋_GB2312" w:hAnsi="仿宋" w:eastAsia="仿宋_GB2312" w:cs="宋体"/>
          <w:sz w:val="32"/>
          <w:szCs w:val="32"/>
          <w:highlight w:val="yellow"/>
        </w:rPr>
        <w:t>?</w:t>
      </w:r>
      <w:r>
        <w:rPr>
          <w:rFonts w:hint="eastAsia" w:ascii="仿宋_GB2312" w:hAnsi="仿宋" w:eastAsia="仿宋_GB2312" w:cs="宋体"/>
          <w:sz w:val="32"/>
          <w:szCs w:val="32"/>
          <w:highlight w:val="yellow"/>
        </w:rPr>
        <w:t>号）</w:t>
      </w:r>
      <w:r>
        <w:rPr>
          <w:rFonts w:hint="eastAsia" w:ascii="仿宋_GB2312" w:hAnsi="仿宋" w:eastAsia="仿宋_GB2312" w:cs="宋体"/>
          <w:sz w:val="32"/>
          <w:szCs w:val="32"/>
        </w:rPr>
        <w:t>文件立项，旨在达到防控动物重大疫病相关要求，进行</w:t>
      </w:r>
      <w:r>
        <w:rPr>
          <w:rFonts w:ascii="仿宋_GB2312" w:hAnsi="仿宋" w:eastAsia="仿宋_GB2312" w:cs="宋体"/>
          <w:sz w:val="32"/>
          <w:szCs w:val="32"/>
        </w:rPr>
        <w:fldChar w:fldCharType="begin">
          <w:fldData xml:space="preserve">NQA3AEUAOABFAEEAOQA1ADUARAAzAEMANABDADkANQA4ADcANQA4AEEARAA1AEIAOQBEADkAMAA1
ADQARQA4AGMA
</w:fldData>
        </w:fldChar>
      </w:r>
      <w:r>
        <w:rPr>
          <w:rFonts w:ascii="仿宋_GB2312" w:hAnsi="仿宋" w:eastAsia="仿宋_GB2312" w:cs="宋体"/>
          <w:sz w:val="32"/>
          <w:szCs w:val="32"/>
        </w:rPr>
        <w:instrText xml:space="preserve">Addin </w:instrText>
      </w:r>
      <w:r>
        <w:rPr>
          <w:rFonts w:hint="eastAsia" w:ascii="仿宋_GB2312" w:hAnsi="仿宋" w:eastAsia="仿宋_GB2312" w:cs="宋体"/>
          <w:sz w:val="32"/>
          <w:szCs w:val="32"/>
        </w:rPr>
        <w:instrText xml:space="preserve">项目名称</w:instrText>
      </w:r>
      <w:r>
        <w:rPr>
          <w:rFonts w:ascii="仿宋_GB2312" w:hAnsi="仿宋" w:eastAsia="仿宋_GB2312" w:cs="宋体"/>
          <w:sz w:val="32"/>
          <w:szCs w:val="32"/>
        </w:rPr>
        <w:fldChar w:fldCharType="separate"/>
      </w:r>
      <w:r>
        <w:rPr>
          <w:rFonts w:hint="eastAsia" w:ascii="仿宋_GB2312" w:hAnsi="仿宋" w:eastAsia="仿宋_GB2312" w:cs="宋体"/>
          <w:sz w:val="32"/>
          <w:szCs w:val="32"/>
        </w:rPr>
        <w:t>开展非洲猪瘟等重大疾病防控工作项目</w:t>
      </w:r>
      <w:r>
        <w:rPr>
          <w:rFonts w:ascii="仿宋_GB2312" w:hAnsi="仿宋" w:eastAsia="仿宋_GB2312" w:cs="宋体"/>
          <w:sz w:val="32"/>
          <w:szCs w:val="32"/>
        </w:rPr>
        <w:fldChar w:fldCharType="end"/>
      </w:r>
      <w:r>
        <w:rPr>
          <w:rFonts w:hint="eastAsia" w:ascii="仿宋_GB2312" w:hAnsi="仿宋" w:eastAsia="仿宋_GB2312" w:cs="宋体"/>
          <w:sz w:val="32"/>
          <w:szCs w:val="32"/>
        </w:rPr>
        <w:t>，每季度对全区动物及动物产品饲养、屠宰及流通环节的检疫出证工作及跨省调运动物及动物产品工作进行服务指导，确保畜产品安全、公共卫生安全，保证喀什地区人民群众“吃上放心肉，喝上放心肉制品”，科学有效的进一步提高对非洲猪瘟等动物疫病防控工作。</w:t>
      </w:r>
    </w:p>
    <w:p>
      <w:pPr>
        <w:pStyle w:val="23"/>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项目实施前是进行充分调研，制定实施方案，项目实施过程中严格按照实施方案进行实施并及时进行监督管理，项目实施后进行验收。</w:t>
      </w:r>
    </w:p>
    <w:p>
      <w:pPr>
        <w:pStyle w:val="25"/>
        <w:ind w:left="0" w:firstLine="643" w:firstLineChars="200"/>
      </w:pPr>
      <w:bookmarkStart w:id="1" w:name="_Toc26401550"/>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ascii="仿宋_GB2312" w:hAnsi="仿宋" w:eastAsia="仿宋_GB2312" w:cs="宋体"/>
          <w:sz w:val="32"/>
          <w:szCs w:val="32"/>
        </w:rPr>
        <w:t>3</w:t>
      </w:r>
      <w:r>
        <w:rPr>
          <w:rFonts w:hint="eastAsia" w:ascii="仿宋_GB2312" w:hAnsi="仿宋" w:eastAsia="仿宋_GB2312" w:cs="宋体"/>
          <w:sz w:val="32"/>
          <w:szCs w:val="32"/>
        </w:rPr>
        <w:t>万元，资金来本级部门预算资金</w:t>
      </w:r>
      <w:r>
        <w:rPr>
          <w:rFonts w:ascii="仿宋_GB2312" w:hAnsi="仿宋" w:eastAsia="仿宋_GB2312" w:cs="宋体"/>
          <w:sz w:val="32"/>
          <w:szCs w:val="32"/>
        </w:rPr>
        <w:t>3</w:t>
      </w:r>
      <w:r>
        <w:rPr>
          <w:rFonts w:hint="eastAsia" w:ascii="仿宋_GB2312" w:hAnsi="仿宋" w:eastAsia="仿宋_GB2312" w:cs="宋体"/>
          <w:sz w:val="32"/>
          <w:szCs w:val="32"/>
        </w:rPr>
        <w:t>万元。项目资金的使用范围：项目资金主要用于支付出差费用</w:t>
      </w:r>
      <w:r>
        <w:rPr>
          <w:rFonts w:ascii="仿宋_GB2312" w:hAnsi="仿宋" w:eastAsia="仿宋_GB2312" w:cs="宋体"/>
          <w:sz w:val="32"/>
          <w:szCs w:val="32"/>
        </w:rPr>
        <w:t>1.36</w:t>
      </w:r>
      <w:r>
        <w:rPr>
          <w:rFonts w:hint="eastAsia" w:ascii="仿宋_GB2312" w:hAnsi="仿宋" w:eastAsia="仿宋_GB2312" w:cs="宋体"/>
          <w:sz w:val="32"/>
          <w:szCs w:val="32"/>
        </w:rPr>
        <w:t>万元、邮电费费用支付</w:t>
      </w:r>
      <w:r>
        <w:rPr>
          <w:rFonts w:ascii="仿宋_GB2312" w:hAnsi="仿宋" w:eastAsia="仿宋_GB2312" w:cs="宋体"/>
          <w:sz w:val="32"/>
          <w:szCs w:val="32"/>
        </w:rPr>
        <w:t>0.18</w:t>
      </w:r>
      <w:r>
        <w:rPr>
          <w:rFonts w:hint="eastAsia" w:ascii="仿宋_GB2312" w:hAnsi="仿宋" w:eastAsia="仿宋_GB2312" w:cs="宋体"/>
          <w:sz w:val="32"/>
          <w:szCs w:val="32"/>
        </w:rPr>
        <w:t>万元，维修（护）费</w:t>
      </w:r>
      <w:r>
        <w:rPr>
          <w:rFonts w:ascii="仿宋_GB2312" w:hAnsi="仿宋" w:eastAsia="仿宋_GB2312" w:cs="宋体"/>
          <w:sz w:val="32"/>
          <w:szCs w:val="32"/>
        </w:rPr>
        <w:t>1.35</w:t>
      </w:r>
      <w:r>
        <w:rPr>
          <w:rFonts w:hint="eastAsia" w:ascii="仿宋_GB2312" w:hAnsi="仿宋" w:eastAsia="仿宋_GB2312" w:cs="宋体"/>
          <w:sz w:val="32"/>
          <w:szCs w:val="32"/>
        </w:rPr>
        <w:t>万元，其他交通费用：</w:t>
      </w:r>
      <w:r>
        <w:rPr>
          <w:rFonts w:ascii="仿宋_GB2312" w:hAnsi="仿宋" w:eastAsia="仿宋_GB2312" w:cs="宋体"/>
          <w:sz w:val="32"/>
          <w:szCs w:val="32"/>
        </w:rPr>
        <w:t>0.12</w:t>
      </w:r>
      <w:r>
        <w:rPr>
          <w:rFonts w:hint="eastAsia" w:ascii="仿宋_GB2312" w:hAnsi="仿宋" w:eastAsia="仿宋_GB2312" w:cs="宋体"/>
          <w:sz w:val="32"/>
          <w:szCs w:val="32"/>
        </w:rPr>
        <w:t>万元，结余</w:t>
      </w:r>
      <w:r>
        <w:rPr>
          <w:rFonts w:ascii="仿宋_GB2312" w:hAnsi="仿宋" w:eastAsia="仿宋_GB2312" w:cs="宋体"/>
          <w:sz w:val="32"/>
          <w:szCs w:val="32"/>
        </w:rPr>
        <w:t>0</w:t>
      </w:r>
      <w:r>
        <w:rPr>
          <w:rFonts w:hint="eastAsia" w:ascii="仿宋_GB2312" w:hAnsi="仿宋" w:eastAsia="仿宋_GB2312" w:cs="宋体"/>
          <w:sz w:val="32"/>
          <w:szCs w:val="32"/>
        </w:rPr>
        <w:t>万元。</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喀什地区动物卫生监督所制定了《喀什地区动物卫生监督所项目资金管理制度》，按照《喀什地区动物卫生监督所项目资金管理制度》进行使用。</w:t>
      </w:r>
    </w:p>
    <w:p>
      <w:pPr>
        <w:pStyle w:val="25"/>
        <w:ind w:left="0" w:firstLine="643" w:firstLineChars="200"/>
      </w:pPr>
      <w:bookmarkStart w:id="2" w:name="_Toc26401551"/>
      <w:r>
        <w:rPr>
          <w:rFonts w:hint="eastAsia"/>
        </w:rPr>
        <w:t>绩效目标</w:t>
      </w:r>
      <w:bookmarkEnd w:id="2"/>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总体目标为：为达到防控动物重大疫病相关要求，进行</w:t>
      </w:r>
      <w:r>
        <w:rPr>
          <w:rFonts w:ascii="仿宋_GB2312" w:hAnsi="仿宋" w:eastAsia="仿宋_GB2312" w:cs="宋体"/>
          <w:sz w:val="32"/>
          <w:szCs w:val="32"/>
        </w:rPr>
        <w:fldChar w:fldCharType="begin">
          <w:fldData xml:space="preserve">NQA3AEUAOABFAEEAOQA1ADUARAAzAEMANABDADkANQA4ADcANQA4AEEARAA1AEIAOQBEADkAMAA1
ADQARQA4AGMA/wA=
</w:fldData>
        </w:fldChar>
      </w:r>
      <w:r>
        <w:rPr>
          <w:rFonts w:ascii="仿宋_GB2312" w:hAnsi="仿宋" w:eastAsia="仿宋_GB2312" w:cs="宋体"/>
          <w:sz w:val="32"/>
          <w:szCs w:val="32"/>
        </w:rPr>
        <w:instrText xml:space="preserve">Addin </w:instrText>
      </w:r>
      <w:r>
        <w:rPr>
          <w:rFonts w:hint="eastAsia" w:ascii="仿宋_GB2312" w:hAnsi="仿宋" w:eastAsia="仿宋_GB2312" w:cs="宋体"/>
          <w:sz w:val="32"/>
          <w:szCs w:val="32"/>
        </w:rPr>
        <w:instrText xml:space="preserve">项目名称</w:instrText>
      </w:r>
      <w:r>
        <w:rPr>
          <w:rFonts w:ascii="仿宋_GB2312" w:hAnsi="仿宋" w:eastAsia="仿宋_GB2312" w:cs="宋体"/>
          <w:sz w:val="32"/>
          <w:szCs w:val="32"/>
        </w:rPr>
        <w:fldChar w:fldCharType="separate"/>
      </w:r>
      <w:r>
        <w:rPr>
          <w:rFonts w:hint="eastAsia" w:ascii="仿宋_GB2312" w:hAnsi="仿宋" w:eastAsia="仿宋_GB2312" w:cs="宋体"/>
          <w:sz w:val="32"/>
          <w:szCs w:val="32"/>
        </w:rPr>
        <w:t>开展非洲猪瘟等重大疾病防控工作项目</w:t>
      </w:r>
      <w:r>
        <w:rPr>
          <w:rFonts w:ascii="仿宋_GB2312" w:hAnsi="仿宋" w:eastAsia="仿宋_GB2312" w:cs="宋体"/>
          <w:sz w:val="32"/>
          <w:szCs w:val="32"/>
        </w:rPr>
        <w:fldChar w:fldCharType="end"/>
      </w:r>
      <w:r>
        <w:rPr>
          <w:rFonts w:hint="eastAsia" w:ascii="仿宋_GB2312" w:hAnsi="仿宋" w:eastAsia="仿宋_GB2312" w:cs="宋体"/>
          <w:sz w:val="32"/>
          <w:szCs w:val="32"/>
        </w:rPr>
        <w:t>，每季度对全区动物及动物产品饲养、屠宰及流通环节的检疫出证工作及跨省调运动物及动物产品工作进行服务指导，根据服务指导情况以县为单位。</w:t>
      </w:r>
      <w:r>
        <w:rPr>
          <w:rFonts w:ascii="仿宋_GB2312" w:hAnsi="仿宋" w:eastAsia="仿宋_GB2312" w:cs="宋体"/>
          <w:sz w:val="32"/>
          <w:szCs w:val="32"/>
        </w:rPr>
        <w:fldChar w:fldCharType="begin">
          <w:fldData xml:space="preserve">MgBCAEQAMwBCADgAQQA3ADgAMQBEADIANAA5ADIAMAA5ADcARABCADgARAA4AEMANgBEAEYAOABE
AEMAMwA2AP8A
</w:fldData>
        </w:fldChar>
      </w:r>
      <w:r>
        <w:rPr>
          <w:rFonts w:ascii="仿宋_GB2312" w:hAnsi="仿宋" w:eastAsia="仿宋_GB2312" w:cs="宋体"/>
          <w:sz w:val="32"/>
          <w:szCs w:val="32"/>
        </w:rPr>
        <w:instrText xml:space="preserve">Addin </w:instrText>
      </w:r>
      <w:r>
        <w:rPr>
          <w:rFonts w:hint="eastAsia" w:ascii="仿宋_GB2312" w:hAnsi="仿宋" w:eastAsia="仿宋_GB2312" w:cs="宋体"/>
          <w:sz w:val="32"/>
          <w:szCs w:val="32"/>
        </w:rPr>
        <w:instrText xml:space="preserve">项目背景及内容</w:instrText>
      </w:r>
      <w:r>
        <w:rPr>
          <w:rFonts w:ascii="仿宋_GB2312" w:hAnsi="仿宋" w:eastAsia="仿宋_GB2312" w:cs="宋体"/>
          <w:sz w:val="32"/>
          <w:szCs w:val="32"/>
        </w:rPr>
        <w:fldChar w:fldCharType="separate"/>
      </w:r>
      <w:r>
        <w:rPr>
          <w:rFonts w:hint="eastAsia" w:ascii="仿宋_GB2312" w:hAnsi="仿宋" w:eastAsia="仿宋_GB2312" w:cs="宋体"/>
          <w:sz w:val="32"/>
          <w:szCs w:val="32"/>
        </w:rPr>
        <w:t>非洲猪瘟，五号病，禽流感是重大动物疫防控工作，确保畜产品安全、公共卫生安全，保证喀什地区人民群众“吃上放心肉，喝上放心肉制品”，科学有效的进一步提高对非洲猪瘟等动物疫病防控工作。</w:t>
      </w:r>
      <w:r>
        <w:rPr>
          <w:rFonts w:ascii="仿宋_GB2312" w:hAnsi="仿宋" w:eastAsia="仿宋_GB2312" w:cs="宋体"/>
          <w:sz w:val="32"/>
          <w:szCs w:val="32"/>
        </w:rPr>
        <w:fldChar w:fldCharType="end"/>
      </w:r>
    </w:p>
    <w:p>
      <w:pPr>
        <w:spacing w:beforeLines="50" w:line="600" w:lineRule="exact"/>
        <w:rPr>
          <w:rFonts w:ascii="仿宋_GB2312" w:hAnsi="仿宋" w:eastAsia="仿宋_GB2312" w:cs="宋体"/>
          <w:color w:val="FF0000"/>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w:t>
      </w:r>
      <w:r>
        <w:rPr>
          <w:rFonts w:ascii="仿宋_GB2312" w:hAnsi="仿宋" w:eastAsia="仿宋_GB2312" w:cs="宋体"/>
          <w:sz w:val="32"/>
          <w:szCs w:val="32"/>
        </w:rPr>
        <w:t>3</w:t>
      </w:r>
      <w:r>
        <w:rPr>
          <w:rFonts w:hint="eastAsia" w:ascii="仿宋_GB2312" w:hAnsi="仿宋" w:eastAsia="仿宋_GB2312" w:cs="宋体"/>
          <w:sz w:val="32"/>
          <w:szCs w:val="32"/>
        </w:rPr>
        <w:t>个，二级指标</w:t>
      </w:r>
      <w:r>
        <w:rPr>
          <w:rFonts w:ascii="仿宋_GB2312" w:hAnsi="仿宋" w:eastAsia="仿宋_GB2312" w:cs="宋体"/>
          <w:sz w:val="32"/>
          <w:szCs w:val="32"/>
        </w:rPr>
        <w:t>8</w:t>
      </w:r>
      <w:r>
        <w:rPr>
          <w:rFonts w:hint="eastAsia" w:ascii="仿宋_GB2312" w:hAnsi="仿宋" w:eastAsia="仿宋_GB2312" w:cs="宋体"/>
          <w:sz w:val="32"/>
          <w:szCs w:val="32"/>
        </w:rPr>
        <w:t>个，三级指标</w:t>
      </w:r>
      <w:r>
        <w:rPr>
          <w:rFonts w:ascii="仿宋_GB2312" w:hAnsi="仿宋" w:eastAsia="仿宋_GB2312" w:cs="宋体"/>
          <w:sz w:val="32"/>
          <w:szCs w:val="32"/>
        </w:rPr>
        <w:t>10</w:t>
      </w:r>
      <w:r>
        <w:rPr>
          <w:rFonts w:hint="eastAsia" w:ascii="仿宋_GB2312" w:hAnsi="仿宋" w:eastAsia="仿宋_GB2312" w:cs="宋体"/>
          <w:sz w:val="32"/>
          <w:szCs w:val="32"/>
        </w:rPr>
        <w:t>个，绩效目标申报表详见附件</w:t>
      </w:r>
      <w:r>
        <w:rPr>
          <w:rFonts w:ascii="仿宋_GB2312" w:hAnsi="仿宋" w:eastAsia="仿宋_GB2312" w:cs="宋体"/>
          <w:sz w:val="32"/>
          <w:szCs w:val="32"/>
        </w:rPr>
        <w:t>1</w:t>
      </w:r>
      <w:r>
        <w:rPr>
          <w:rFonts w:hint="eastAsia" w:ascii="仿宋_GB2312" w:hAnsi="仿宋" w:eastAsia="仿宋_GB2312" w:cs="宋体"/>
          <w:sz w:val="32"/>
          <w:szCs w:val="32"/>
        </w:rPr>
        <w:t>。</w:t>
      </w:r>
    </w:p>
    <w:p>
      <w:pPr>
        <w:pStyle w:val="24"/>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w:t>
      </w:r>
      <w:r>
        <w:rPr>
          <w:rFonts w:hint="eastAsia" w:ascii="仿宋_GB2312" w:hAnsi="仿宋_GB2312" w:eastAsia="仿宋_GB2312" w:cs="仿宋_GB2312"/>
          <w:kern w:val="0"/>
          <w:sz w:val="32"/>
          <w:szCs w:val="32"/>
          <w:shd w:val="clear" w:color="auto" w:fill="FFFFFF"/>
        </w:rPr>
        <w:t>〕</w:t>
      </w:r>
      <w:r>
        <w:rPr>
          <w:rFonts w:ascii="仿宋_GB2312" w:hAnsi="仿宋_GB2312" w:eastAsia="仿宋_GB2312" w:cs="仿宋_GB2312"/>
          <w:kern w:val="0"/>
          <w:sz w:val="32"/>
          <w:szCs w:val="32"/>
          <w:shd w:val="clear" w:color="auto" w:fill="FFFFFF"/>
        </w:rPr>
        <w:t>189</w:t>
      </w:r>
      <w:r>
        <w:rPr>
          <w:rFonts w:hint="eastAsia" w:ascii="仿宋_GB2312" w:hAnsi="仿宋_GB2312" w:eastAsia="仿宋_GB2312" w:cs="仿宋_GB2312"/>
          <w:kern w:val="0"/>
          <w:sz w:val="32"/>
          <w:szCs w:val="32"/>
          <w:shd w:val="clear" w:color="auto" w:fill="FFFFFF"/>
        </w:rPr>
        <w:t>号）</w:t>
      </w:r>
      <w:r>
        <w:rPr>
          <w:rFonts w:hint="eastAsia" w:ascii="仿宋_GB2312" w:hAnsi="仿宋" w:eastAsia="仿宋_GB2312" w:cs="宋体"/>
          <w:sz w:val="32"/>
          <w:szCs w:val="32"/>
        </w:rPr>
        <w:t>等相关政策文件与规定，旨在评价《开展非洲猪瘟等重大疾病防控工作项目项目》实施前期、过程及效果，评价财政预算资金使用的效率及效益。</w:t>
      </w:r>
    </w:p>
    <w:p>
      <w:pPr>
        <w:pStyle w:val="25"/>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本次评价对象为《开展非洲猪瘟等重大疾病防控工作项目项目》资金，评价范围包括专项资金的安排、组织及使用效益。</w:t>
      </w:r>
    </w:p>
    <w:p>
      <w:pPr>
        <w:pStyle w:val="25"/>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5"/>
        <w:numPr>
          <w:ilvl w:val="0"/>
          <w:numId w:val="4"/>
        </w:numPr>
        <w:ind w:left="0" w:firstLine="643" w:firstLineChars="200"/>
      </w:pPr>
      <w:r>
        <w:rPr>
          <w:rFonts w:hint="eastAsia"/>
        </w:rPr>
        <w:t>本项目绩效评价体系</w:t>
      </w:r>
    </w:p>
    <w:p>
      <w:pPr>
        <w:pStyle w:val="25"/>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b w:val="0"/>
        </w:rPr>
        <w:t>2020</w:t>
      </w:r>
      <w:r>
        <w:rPr>
          <w:rFonts w:hint="eastAsia" w:ascii="仿宋" w:hAnsi="仿宋" w:eastAsia="仿宋"/>
          <w:b w:val="0"/>
        </w:rPr>
        <w:t>﹞</w:t>
      </w:r>
      <w:r>
        <w:rPr>
          <w:b w:val="0"/>
        </w:rPr>
        <w:t>10</w:t>
      </w:r>
      <w:r>
        <w:rPr>
          <w:rFonts w:hint="eastAsia"/>
          <w:b w:val="0"/>
        </w:rPr>
        <w:t>号共性指标及个性化指标</w:t>
      </w:r>
      <w:r>
        <w:rPr>
          <w:rFonts w:hint="eastAsia"/>
          <w:b w:val="0"/>
          <w:color w:val="auto"/>
        </w:rPr>
        <w:t>设置，详见附件</w:t>
      </w:r>
      <w:r>
        <w:rPr>
          <w:rFonts w:hint="eastAsia"/>
          <w:b w:val="0"/>
          <w:color w:val="auto"/>
          <w:lang w:val="en-US" w:eastAsia="zh-CN"/>
        </w:rPr>
        <w:t>4</w:t>
      </w:r>
      <w:r>
        <w:rPr>
          <w:rFonts w:hint="eastAsia"/>
          <w:b w:val="0"/>
          <w:color w:val="auto"/>
        </w:rPr>
        <w:t>。</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本次绩效评价方法的选用坚持简便有效的原则采用成本效益分析法和因素分析法。</w:t>
      </w:r>
    </w:p>
    <w:p>
      <w:pPr>
        <w:pStyle w:val="25"/>
        <w:keepNext w:val="0"/>
        <w:keepLines w:val="0"/>
        <w:numPr>
          <w:ilvl w:val="0"/>
          <w:numId w:val="4"/>
        </w:numPr>
        <w:ind w:left="0" w:firstLine="643" w:firstLineChars="200"/>
      </w:pPr>
      <w:r>
        <w:rPr>
          <w:rFonts w:hint="eastAsia"/>
        </w:rPr>
        <w:t>评价标准</w:t>
      </w:r>
    </w:p>
    <w:p>
      <w:pPr>
        <w:pStyle w:val="25"/>
        <w:keepNext w:val="0"/>
        <w:keepLines w:val="0"/>
        <w:numPr>
          <w:ilvl w:val="0"/>
          <w:numId w:val="0"/>
        </w:numPr>
      </w:pPr>
      <w:r>
        <w:t xml:space="preserve">    </w:t>
      </w:r>
      <w:r>
        <w:rPr>
          <w:rFonts w:hint="eastAsia"/>
        </w:rPr>
        <w:t>项目评价标准采用</w:t>
      </w:r>
      <w:r>
        <w:rPr>
          <w:rFonts w:hint="eastAsia"/>
          <w:bCs w:val="0"/>
        </w:rPr>
        <w:t>行业标准。</w:t>
      </w:r>
    </w:p>
    <w:p>
      <w:pPr>
        <w:pStyle w:val="25"/>
        <w:keepNext w:val="0"/>
        <w:keepLines w:val="0"/>
        <w:numPr>
          <w:ilvl w:val="0"/>
          <w:numId w:val="4"/>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rPr>
              <w:t>米尔阿迪力·玉苏甫</w:t>
            </w:r>
          </w:p>
        </w:tc>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rPr>
              <w:t>评价组组长</w:t>
            </w:r>
          </w:p>
        </w:tc>
        <w:tc>
          <w:tcPr>
            <w:tcW w:w="2766" w:type="dxa"/>
            <w:vAlign w:val="center"/>
          </w:tcPr>
          <w:p>
            <w:pPr>
              <w:spacing w:before="9"/>
              <w:jc w:val="center"/>
              <w:rPr>
                <w:rFonts w:ascii="仿宋_GB2312" w:hAnsi="仿宋_GB2312" w:eastAsia="仿宋_GB2312" w:cs="仿宋_GB2312"/>
                <w:sz w:val="28"/>
                <w:szCs w:val="28"/>
              </w:rPr>
            </w:pPr>
            <w:r>
              <w:rPr>
                <w:rFonts w:hint="eastAsia" w:ascii="仿宋_GB2312" w:hAnsi="仿宋_GB2312" w:eastAsia="仿宋_GB2312" w:cs="仿宋_GB2312"/>
                <w:sz w:val="32"/>
                <w:szCs w:val="32"/>
              </w:rPr>
              <w:t>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sz w:val="28"/>
                <w:szCs w:val="28"/>
              </w:rPr>
              <w:t>庞洪波</w:t>
            </w:r>
          </w:p>
        </w:tc>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rPr>
              <w:t>评价组成员</w:t>
            </w:r>
          </w:p>
        </w:tc>
        <w:tc>
          <w:tcPr>
            <w:tcW w:w="2766" w:type="dxa"/>
            <w:vAlign w:val="center"/>
          </w:tcPr>
          <w:p>
            <w:pPr>
              <w:spacing w:before="9"/>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sz w:val="28"/>
                <w:szCs w:val="28"/>
              </w:rPr>
              <w:t>李燕</w:t>
            </w:r>
          </w:p>
        </w:tc>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rPr>
              <w:t>评价组成员</w:t>
            </w:r>
          </w:p>
        </w:tc>
        <w:tc>
          <w:tcPr>
            <w:tcW w:w="2766" w:type="dxa"/>
            <w:vAlign w:val="center"/>
          </w:tcPr>
          <w:p>
            <w:pPr>
              <w:spacing w:before="9"/>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监督科科长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sz w:val="28"/>
                <w:szCs w:val="28"/>
              </w:rPr>
              <w:t>努尔斯曼·吾布力卡斯木</w:t>
            </w:r>
          </w:p>
        </w:tc>
        <w:tc>
          <w:tcPr>
            <w:tcW w:w="2765" w:type="dxa"/>
            <w:vAlign w:val="center"/>
          </w:tcPr>
          <w:p>
            <w:pPr>
              <w:pStyle w:val="25"/>
              <w:keepNext w:val="0"/>
              <w:keepLines w:val="0"/>
              <w:numPr>
                <w:ilvl w:val="0"/>
                <w:numId w:val="0"/>
              </w:numPr>
              <w:spacing w:line="240" w:lineRule="atLeast"/>
              <w:jc w:val="center"/>
              <w:rPr>
                <w:rFonts w:hAnsi="仿宋_GB2312" w:cs="仿宋_GB2312"/>
                <w:b w:val="0"/>
                <w:bCs w:val="0"/>
              </w:rPr>
            </w:pPr>
            <w:r>
              <w:rPr>
                <w:rFonts w:hint="eastAsia" w:hAnsi="仿宋_GB2312" w:cs="仿宋_GB2312"/>
                <w:b w:val="0"/>
                <w:bCs w:val="0"/>
              </w:rPr>
              <w:t>评价组成员</w:t>
            </w:r>
          </w:p>
        </w:tc>
        <w:tc>
          <w:tcPr>
            <w:tcW w:w="2766" w:type="dxa"/>
            <w:vAlign w:val="center"/>
          </w:tcPr>
          <w:p>
            <w:pPr>
              <w:spacing w:before="9"/>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财务人员</w:t>
            </w:r>
          </w:p>
        </w:tc>
      </w:tr>
    </w:tbl>
    <w:p>
      <w:pPr>
        <w:pStyle w:val="25"/>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4"/>
        <w:numPr>
          <w:ilvl w:val="0"/>
          <w:numId w:val="2"/>
        </w:numPr>
        <w:ind w:firstLineChars="0"/>
      </w:pPr>
      <w:bookmarkStart w:id="7" w:name="_Toc26401558"/>
      <w:r>
        <w:rPr>
          <w:rFonts w:hint="eastAsia" w:ascii="黑体" w:hAnsi="黑体"/>
        </w:rPr>
        <w:t>综合评价情况及评价结论</w:t>
      </w:r>
    </w:p>
    <w:p>
      <w:pPr>
        <w:pStyle w:val="24"/>
        <w:ind w:firstLine="640"/>
        <w:rPr>
          <w:rFonts w:ascii="仿宋_GB2312" w:hAnsi="?? Light" w:eastAsia="仿宋_GB2312"/>
          <w:b w:val="0"/>
          <w:bCs w:val="0"/>
          <w:kern w:val="2"/>
        </w:rPr>
      </w:pPr>
      <w:r>
        <w:rPr>
          <w:rFonts w:hint="eastAsia" w:ascii="仿宋_GB2312" w:hAnsi="?? Light" w:eastAsia="仿宋_GB2312"/>
          <w:b w:val="0"/>
          <w:bCs w:val="0"/>
          <w:kern w:val="2"/>
        </w:rPr>
        <w:t>经评价组通过实地调研、资料分析等方式，采用成本效益分析法和因素分析法对项目的决策、管理、绩效进行的综合评价分析，项目得分为</w:t>
      </w:r>
      <w:r>
        <w:rPr>
          <w:rFonts w:hint="eastAsia" w:ascii="仿宋_GB2312" w:hAnsi="?? Light" w:eastAsia="仿宋_GB2312"/>
          <w:b w:val="0"/>
          <w:bCs w:val="0"/>
          <w:kern w:val="2"/>
          <w:lang w:val="en-US" w:eastAsia="zh-CN"/>
        </w:rPr>
        <w:t>100</w:t>
      </w:r>
      <w:r>
        <w:rPr>
          <w:rFonts w:hint="eastAsia" w:ascii="仿宋_GB2312" w:hAnsi="?? Light" w:eastAsia="仿宋_GB2312"/>
          <w:b w:val="0"/>
          <w:bCs w:val="0"/>
          <w:kern w:val="2"/>
        </w:rPr>
        <w:t>分，评价结果为优，详见附件</w:t>
      </w:r>
      <w:r>
        <w:rPr>
          <w:rFonts w:hint="eastAsia" w:ascii="仿宋_GB2312" w:hAnsi="?? Light" w:eastAsia="仿宋_GB2312"/>
          <w:b w:val="0"/>
          <w:bCs w:val="0"/>
          <w:kern w:val="2"/>
          <w:lang w:val="en-US" w:eastAsia="zh-CN"/>
        </w:rPr>
        <w:t>6</w:t>
      </w:r>
      <w:r>
        <w:rPr>
          <w:rFonts w:hint="eastAsia" w:ascii="仿宋_GB2312" w:hAnsi="?? Light" w:eastAsia="仿宋_GB2312"/>
          <w:b w:val="0"/>
          <w:bCs w:val="0"/>
          <w:kern w:val="2"/>
        </w:rPr>
        <w:t>。</w:t>
      </w:r>
    </w:p>
    <w:p>
      <w:pPr>
        <w:pStyle w:val="24"/>
        <w:numPr>
          <w:ilvl w:val="0"/>
          <w:numId w:val="2"/>
        </w:numPr>
        <w:ind w:firstLineChars="0"/>
      </w:pPr>
      <w:r>
        <w:rPr>
          <w:rFonts w:hint="eastAsia"/>
        </w:rPr>
        <w:t>绩效评价指标分析</w:t>
      </w:r>
      <w:bookmarkEnd w:id="7"/>
    </w:p>
    <w:p>
      <w:pPr>
        <w:pStyle w:val="23"/>
        <w:numPr>
          <w:ilvl w:val="0"/>
          <w:numId w:val="6"/>
        </w:numPr>
        <w:spacing w:beforeLines="50" w:line="600" w:lineRule="exact"/>
        <w:ind w:left="0" w:firstLine="640"/>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23"/>
        <w:numPr>
          <w:ilvl w:val="0"/>
          <w:numId w:val="6"/>
        </w:numPr>
        <w:spacing w:beforeLines="50" w:line="600" w:lineRule="exact"/>
        <w:ind w:left="0" w:firstLine="640"/>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在项目组织实施方面，项目单位已制定或具有相应的财务和业务管理制度，财务和业务管理制度是否合法、合规、完整。项目实施遵守相关法律法规和相关管理规定。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项目调整及支出调整手续完备，项目合同书、验收报告、技术鉴定等资料齐全并及时归档，项目实施的人员条件、场地设备、信息支撑等落实到位。</w:t>
      </w:r>
    </w:p>
    <w:p>
      <w:pPr>
        <w:pStyle w:val="23"/>
        <w:numPr>
          <w:ilvl w:val="0"/>
          <w:numId w:val="6"/>
        </w:numPr>
        <w:spacing w:beforeLines="50" w:line="600" w:lineRule="exact"/>
        <w:ind w:left="0" w:firstLine="640"/>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项目产出数量为开展非洲猪瘟等重大动物疫病防控服务指导工作，预期指标值为</w:t>
      </w:r>
      <w:r>
        <w:rPr>
          <w:rFonts w:ascii="仿宋_GB2312" w:eastAsia="仿宋_GB2312"/>
          <w:sz w:val="32"/>
          <w:szCs w:val="32"/>
        </w:rPr>
        <w:t>4</w:t>
      </w:r>
      <w:r>
        <w:rPr>
          <w:rFonts w:hint="eastAsia" w:ascii="仿宋_GB2312" w:eastAsia="仿宋_GB2312"/>
          <w:sz w:val="32"/>
          <w:szCs w:val="32"/>
        </w:rPr>
        <w:t>次，实际完成值为</w:t>
      </w:r>
      <w:r>
        <w:rPr>
          <w:rFonts w:ascii="仿宋_GB2312" w:eastAsia="仿宋_GB2312"/>
          <w:sz w:val="32"/>
          <w:szCs w:val="32"/>
        </w:rPr>
        <w:t>4</w:t>
      </w:r>
      <w:r>
        <w:rPr>
          <w:rFonts w:hint="eastAsia" w:ascii="仿宋_GB2312" w:eastAsia="仿宋_GB2312"/>
          <w:sz w:val="32"/>
          <w:szCs w:val="32"/>
        </w:rPr>
        <w:t>次，指标达到预期目标。</w:t>
      </w:r>
    </w:p>
    <w:p>
      <w:pPr>
        <w:spacing w:beforeLines="50" w:line="600" w:lineRule="exact"/>
        <w:ind w:firstLine="660"/>
        <w:rPr>
          <w:rFonts w:ascii="仿宋_GB2312" w:eastAsia="仿宋_GB2312"/>
          <w:color w:val="FF0000"/>
          <w:sz w:val="32"/>
          <w:szCs w:val="32"/>
        </w:rPr>
      </w:pPr>
      <w:r>
        <w:rPr>
          <w:rFonts w:hint="eastAsia" w:ascii="仿宋_GB2312" w:eastAsia="仿宋_GB2312"/>
          <w:sz w:val="32"/>
          <w:szCs w:val="32"/>
        </w:rPr>
        <w:t>项目产出数量为重大动物疫病防控服务指导覆盖县市，预期指标值为</w:t>
      </w:r>
      <w:r>
        <w:rPr>
          <w:rFonts w:ascii="仿宋_GB2312" w:eastAsia="仿宋_GB2312"/>
          <w:sz w:val="32"/>
          <w:szCs w:val="32"/>
        </w:rPr>
        <w:t>12</w:t>
      </w:r>
      <w:r>
        <w:rPr>
          <w:rFonts w:hint="eastAsia" w:ascii="仿宋_GB2312" w:eastAsia="仿宋_GB2312"/>
          <w:sz w:val="32"/>
          <w:szCs w:val="32"/>
        </w:rPr>
        <w:t>个，实际完成值为</w:t>
      </w:r>
      <w:r>
        <w:rPr>
          <w:rFonts w:ascii="仿宋_GB2312" w:eastAsia="仿宋_GB2312"/>
          <w:sz w:val="32"/>
          <w:szCs w:val="32"/>
        </w:rPr>
        <w:t>12</w:t>
      </w:r>
      <w:r>
        <w:rPr>
          <w:rFonts w:hint="eastAsia" w:ascii="仿宋_GB2312" w:eastAsia="仿宋_GB2312"/>
          <w:sz w:val="32"/>
          <w:szCs w:val="32"/>
        </w:rPr>
        <w:t>个，指标达到预期目标。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项目产出质量为保障开展重大动物疫病防控服务指导经费执行率，预期指标值为≥</w:t>
      </w:r>
      <w:r>
        <w:rPr>
          <w:rFonts w:ascii="仿宋_GB2312" w:eastAsia="仿宋_GB2312"/>
          <w:sz w:val="32"/>
          <w:szCs w:val="32"/>
        </w:rPr>
        <w:t>90%</w:t>
      </w:r>
      <w:r>
        <w:rPr>
          <w:rFonts w:hint="eastAsia" w:ascii="仿宋_GB2312" w:eastAsia="仿宋_GB2312"/>
          <w:sz w:val="32"/>
          <w:szCs w:val="32"/>
        </w:rPr>
        <w:t>，实际完成值为</w:t>
      </w:r>
      <w:r>
        <w:rPr>
          <w:rFonts w:ascii="仿宋_GB2312" w:eastAsia="仿宋_GB2312"/>
          <w:sz w:val="32"/>
          <w:szCs w:val="32"/>
        </w:rPr>
        <w:t>90%</w:t>
      </w:r>
      <w:r>
        <w:rPr>
          <w:rFonts w:hint="eastAsia" w:ascii="仿宋_GB2312" w:eastAsia="仿宋_GB2312"/>
          <w:sz w:val="32"/>
          <w:szCs w:val="32"/>
        </w:rPr>
        <w:t>，指标达到预期目标。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项目产出质量为开展突发动物疫情处置率，预期指标值为≥</w:t>
      </w:r>
      <w:r>
        <w:rPr>
          <w:rFonts w:ascii="仿宋_GB2312" w:eastAsia="仿宋_GB2312"/>
          <w:sz w:val="32"/>
          <w:szCs w:val="32"/>
        </w:rPr>
        <w:t>85%</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项目产出时效为非洲猪瘟等重大动物疫病防控签订免疫责任书时限，预期指标值为</w:t>
      </w:r>
      <w:r>
        <w:rPr>
          <w:rFonts w:ascii="仿宋_GB2312" w:eastAsia="仿宋_GB2312"/>
          <w:sz w:val="32"/>
          <w:szCs w:val="32"/>
        </w:rPr>
        <w:t>12</w:t>
      </w:r>
      <w:r>
        <w:rPr>
          <w:rFonts w:hint="eastAsia" w:ascii="仿宋_GB2312" w:eastAsia="仿宋_GB2312"/>
          <w:sz w:val="32"/>
          <w:szCs w:val="32"/>
        </w:rPr>
        <w:t>个月，实际完成值为</w:t>
      </w:r>
      <w:r>
        <w:rPr>
          <w:rFonts w:ascii="仿宋_GB2312" w:eastAsia="仿宋_GB2312"/>
          <w:sz w:val="32"/>
          <w:szCs w:val="32"/>
        </w:rPr>
        <w:t>12</w:t>
      </w:r>
      <w:r>
        <w:rPr>
          <w:rFonts w:hint="eastAsia" w:ascii="仿宋_GB2312" w:eastAsia="仿宋_GB2312"/>
          <w:sz w:val="32"/>
          <w:szCs w:val="32"/>
        </w:rPr>
        <w:t>个月，达到预期目标。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项目产出成本指标为保障开展重大动物疫病防控服务指导成本，预期指标值为</w:t>
      </w:r>
      <w:r>
        <w:rPr>
          <w:rFonts w:ascii="仿宋_GB2312" w:eastAsia="仿宋_GB2312"/>
          <w:sz w:val="32"/>
          <w:szCs w:val="32"/>
        </w:rPr>
        <w:t>3</w:t>
      </w:r>
      <w:r>
        <w:rPr>
          <w:rFonts w:hint="eastAsia" w:ascii="仿宋_GB2312" w:eastAsia="仿宋_GB2312"/>
          <w:sz w:val="32"/>
          <w:szCs w:val="32"/>
        </w:rPr>
        <w:t>万元，实际完成值为</w:t>
      </w:r>
      <w:r>
        <w:rPr>
          <w:rFonts w:ascii="仿宋_GB2312" w:eastAsia="仿宋_GB2312"/>
          <w:sz w:val="32"/>
          <w:szCs w:val="32"/>
        </w:rPr>
        <w:t>3</w:t>
      </w:r>
      <w:r>
        <w:rPr>
          <w:rFonts w:hint="eastAsia" w:ascii="仿宋_GB2312" w:eastAsia="仿宋_GB2312"/>
          <w:sz w:val="32"/>
          <w:szCs w:val="32"/>
        </w:rPr>
        <w:t>万元，达到预期目标。</w:t>
      </w:r>
    </w:p>
    <w:p>
      <w:pPr>
        <w:pStyle w:val="23"/>
        <w:numPr>
          <w:ilvl w:val="0"/>
          <w:numId w:val="6"/>
        </w:numPr>
        <w:spacing w:beforeLines="50" w:line="600" w:lineRule="exact"/>
        <w:ind w:left="0" w:firstLine="640"/>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指标为提升各县市有效预防动物疫病的主动性</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，预期指标值为≥</w:t>
      </w:r>
      <w:r>
        <w:rPr>
          <w:rFonts w:ascii="仿宋_GB2312" w:eastAsia="仿宋_GB2312"/>
          <w:sz w:val="32"/>
          <w:szCs w:val="32"/>
        </w:rPr>
        <w:t>90%</w:t>
      </w:r>
      <w:r>
        <w:rPr>
          <w:rFonts w:hint="eastAsia" w:ascii="仿宋_GB2312" w:eastAsia="仿宋_GB2312"/>
          <w:sz w:val="32"/>
          <w:szCs w:val="32"/>
        </w:rPr>
        <w:t>，实际完成值为</w:t>
      </w:r>
      <w:r>
        <w:rPr>
          <w:rFonts w:ascii="仿宋_GB2312" w:eastAsia="仿宋_GB2312"/>
          <w:sz w:val="32"/>
          <w:szCs w:val="32"/>
        </w:rPr>
        <w:t>90%</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指标为控制动物疫病的传播，有效控制传染源，防治外源性疾病传入（是、否），预期指标值为是，实际完成值为是</w:t>
      </w:r>
      <w:r>
        <w:rPr>
          <w:rFonts w:hint="eastAsia" w:ascii="仿宋_GB2312" w:hAnsi="仿宋" w:eastAsia="仿宋_GB2312" w:cs="宋体"/>
          <w:bCs/>
          <w:sz w:val="32"/>
          <w:szCs w:val="32"/>
        </w:rPr>
        <w:t>，达到了预期目标。</w:t>
      </w:r>
    </w:p>
    <w:p>
      <w:pPr>
        <w:spacing w:beforeLines="50" w:line="600" w:lineRule="exact"/>
        <w:ind w:firstLine="640" w:firstLineChars="200"/>
        <w:rPr>
          <w:rFonts w:hint="eastAsia" w:ascii="仿宋_GB2312" w:hAnsi="仿宋" w:eastAsia="仿宋_GB2312" w:cs="宋体"/>
          <w:bCs/>
          <w:sz w:val="32"/>
          <w:szCs w:val="32"/>
          <w:lang w:val="en-US" w:eastAsia="zh-CN"/>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指标为促进畜牧业和畜产品安全可持续发展（%），预期指标值为</w:t>
      </w:r>
      <w:r>
        <w:rPr>
          <w:rFonts w:hint="eastAsia" w:ascii="仿宋_GB2312" w:eastAsia="仿宋_GB2312"/>
          <w:sz w:val="32"/>
          <w:szCs w:val="32"/>
          <w:lang w:val="en-US" w:eastAsia="zh-CN"/>
        </w:rPr>
        <w:t>95%</w:t>
      </w:r>
      <w:r>
        <w:rPr>
          <w:rFonts w:hint="eastAsia" w:ascii="仿宋_GB2312" w:eastAsia="仿宋_GB2312"/>
          <w:sz w:val="32"/>
          <w:szCs w:val="32"/>
        </w:rPr>
        <w:t>，实际完成值为</w:t>
      </w:r>
      <w:r>
        <w:rPr>
          <w:rFonts w:hint="eastAsia" w:ascii="仿宋_GB2312" w:eastAsia="仿宋_GB2312"/>
          <w:sz w:val="32"/>
          <w:szCs w:val="32"/>
          <w:lang w:val="en-US" w:eastAsia="zh-CN"/>
        </w:rPr>
        <w:t>95%</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w:t>
      </w:r>
      <w:r>
        <w:rPr>
          <w:rFonts w:hint="eastAsia" w:ascii="仿宋_GB2312" w:hAnsi="仿宋" w:eastAsia="仿宋_GB2312" w:cs="宋体"/>
          <w:bCs/>
          <w:color w:val="auto"/>
          <w:sz w:val="32"/>
          <w:szCs w:val="32"/>
        </w:rPr>
        <w:t>，</w:t>
      </w:r>
      <w:r>
        <w:rPr>
          <w:rFonts w:hint="eastAsia" w:ascii="仿宋_GB2312" w:hAnsi="仿宋" w:eastAsia="仿宋_GB2312" w:cs="宋体"/>
          <w:bCs/>
          <w:sz w:val="32"/>
          <w:szCs w:val="32"/>
        </w:rPr>
        <w:t>项目收益群众满意度为：</w:t>
      </w:r>
      <w:r>
        <w:rPr>
          <w:rFonts w:hint="eastAsia" w:ascii="仿宋_GB2312" w:hAnsi="仿宋" w:eastAsia="仿宋_GB2312" w:cs="宋体"/>
          <w:bCs/>
          <w:sz w:val="32"/>
          <w:szCs w:val="32"/>
          <w:lang w:val="en-US" w:eastAsia="zh-CN"/>
        </w:rPr>
        <w:t>90%，</w:t>
      </w:r>
      <w:r>
        <w:rPr>
          <w:rFonts w:hint="eastAsia" w:ascii="仿宋_GB2312" w:hAnsi="仿宋" w:eastAsia="仿宋_GB2312" w:cs="宋体"/>
          <w:bCs/>
          <w:sz w:val="32"/>
          <w:szCs w:val="32"/>
        </w:rPr>
        <w:t>达到了预期目标。</w:t>
      </w:r>
    </w:p>
    <w:p>
      <w:pPr>
        <w:pStyle w:val="24"/>
        <w:numPr>
          <w:ilvl w:val="0"/>
          <w:numId w:val="2"/>
        </w:numPr>
        <w:ind w:firstLineChars="0"/>
      </w:pPr>
      <w:r>
        <w:rPr>
          <w:rFonts w:hint="eastAsia" w:ascii="黑体" w:hAnsi="黑体"/>
        </w:rPr>
        <w:t>主要经验及做法、存在的问题及原因分析</w:t>
      </w:r>
    </w:p>
    <w:p>
      <w:pPr>
        <w:pStyle w:val="25"/>
        <w:numPr>
          <w:ilvl w:val="0"/>
          <w:numId w:val="7"/>
        </w:numPr>
        <w:ind w:left="0" w:firstLine="643" w:firstLineChars="200"/>
      </w:pPr>
      <w:r>
        <w:rPr>
          <w:rFonts w:hint="eastAsia"/>
        </w:rPr>
        <w:t>主要经验及做法</w:t>
      </w:r>
    </w:p>
    <w:p>
      <w:pPr>
        <w:pStyle w:val="25"/>
        <w:numPr>
          <w:ilvl w:val="0"/>
          <w:numId w:val="0"/>
        </w:numPr>
        <w:ind w:firstLine="640" w:firstLineChars="200"/>
        <w:rPr>
          <w:b w:val="0"/>
        </w:rPr>
      </w:pPr>
      <w:r>
        <w:rPr>
          <w:rFonts w:hint="eastAsia"/>
          <w:b w:val="0"/>
        </w:rPr>
        <w:t>本项目实施效果较好的原因主要是管理制度完善、责任落实到位，跟踪考核机制完善且运行有效，在项目实施过程中创新管理办法，</w:t>
      </w:r>
      <w:r>
        <w:rPr>
          <w:rFonts w:hint="eastAsia"/>
          <w:b w:val="0"/>
          <w:lang w:val="en-US" w:eastAsia="zh-CN"/>
        </w:rPr>
        <w:t>按照项目实施进度有计划的进行列支，切实发挥好业务项目资金的作用</w:t>
      </w:r>
      <w:r>
        <w:rPr>
          <w:rFonts w:hint="eastAsia"/>
          <w:b w:val="0"/>
        </w:rPr>
        <w:t>使项目取得了良好的效果。</w:t>
      </w:r>
    </w:p>
    <w:p>
      <w:pPr>
        <w:pStyle w:val="25"/>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rFonts w:hint="eastAsia" w:ascii="仿宋_GB2312" w:hAnsi="?? Light" w:eastAsia="仿宋_GB2312" w:cs="Times New Roman"/>
          <w:b w:val="0"/>
          <w:bCs/>
          <w:kern w:val="2"/>
          <w:sz w:val="32"/>
          <w:szCs w:val="32"/>
          <w:lang w:val="en-US" w:eastAsia="zh-CN" w:bidi="ar-SA"/>
        </w:rPr>
      </w:pPr>
      <w:r>
        <w:rPr>
          <w:b w:val="0"/>
        </w:rPr>
        <w:t xml:space="preserve">   </w:t>
      </w:r>
      <w:r>
        <w:rPr>
          <w:rFonts w:hint="eastAsia" w:ascii="仿宋_GB2312" w:hAnsi="?? Light" w:eastAsia="仿宋_GB2312" w:cs="Times New Roman"/>
          <w:b w:val="0"/>
          <w:bCs/>
          <w:kern w:val="2"/>
          <w:sz w:val="32"/>
          <w:szCs w:val="32"/>
          <w:lang w:val="en-US" w:eastAsia="zh-CN" w:bidi="ar-SA"/>
        </w:rPr>
        <w:t xml:space="preserve"> 通过预算绩效管理，发现了工作中存在的不足，如前期资金使用因财务人员不在单位原因未按期支付，导致了资金滞缓，影响了项目的进度。</w:t>
      </w:r>
    </w:p>
    <w:p>
      <w:pPr>
        <w:pStyle w:val="24"/>
        <w:numPr>
          <w:ilvl w:val="0"/>
          <w:numId w:val="2"/>
        </w:numPr>
        <w:ind w:firstLineChars="0"/>
        <w:rPr>
          <w:rFonts w:ascii="黑体"/>
        </w:rPr>
      </w:pPr>
      <w:r>
        <w:rPr>
          <w:rFonts w:hint="eastAsia" w:ascii="黑体" w:hAnsi="黑体"/>
        </w:rPr>
        <w:t>有关建议</w:t>
      </w:r>
    </w:p>
    <w:p>
      <w:pPr>
        <w:adjustRightInd w:val="0"/>
        <w:snapToGrid w:val="0"/>
        <w:spacing w:line="560" w:lineRule="exact"/>
        <w:ind w:firstLine="420" w:firstLineChars="200"/>
        <w:rPr>
          <w:rFonts w:hint="eastAsia" w:ascii="仿宋_GB2312" w:hAnsi="?? Light" w:eastAsia="仿宋_GB2312" w:cs="Times New Roman"/>
          <w:b w:val="0"/>
          <w:bCs/>
          <w:kern w:val="2"/>
          <w:sz w:val="32"/>
          <w:szCs w:val="32"/>
          <w:lang w:val="en-US" w:eastAsia="zh-CN" w:bidi="ar-SA"/>
        </w:rPr>
      </w:pPr>
      <w:r>
        <w:rPr>
          <w:rFonts w:ascii="黑体" w:hAnsi="黑体"/>
          <w:b w:val="0"/>
        </w:rPr>
        <w:t xml:space="preserve"> </w:t>
      </w:r>
      <w:r>
        <w:rPr>
          <w:rFonts w:ascii="仿宋_GB2312" w:hAnsi="仿宋" w:eastAsia="仿宋_GB2312" w:cs="宋体"/>
          <w:b w:val="0"/>
          <w:kern w:val="2"/>
        </w:rPr>
        <w:t xml:space="preserve">  </w:t>
      </w:r>
      <w:r>
        <w:rPr>
          <w:rFonts w:hint="eastAsia" w:ascii="仿宋_GB2312" w:hAnsi="?? Light" w:eastAsia="仿宋_GB2312" w:cs="Times New Roman"/>
          <w:b w:val="0"/>
          <w:bCs/>
          <w:kern w:val="2"/>
          <w:sz w:val="32"/>
          <w:szCs w:val="32"/>
          <w:lang w:val="en-US" w:eastAsia="zh-CN" w:bidi="ar-SA"/>
        </w:rPr>
        <w:t xml:space="preserve"> 年初做好资金计划，按照项目进度及时拨付资金，使资金使用效益最大化，减少不必要的浪费，节约成本。今后按照项目要求，充分发挥项目作用。单位需提高项目管理能力，加强工作人员业务知识培训，组织工作能力强人员加大督导力度。</w:t>
      </w:r>
    </w:p>
    <w:p>
      <w:pPr>
        <w:pStyle w:val="24"/>
        <w:ind w:firstLine="0" w:firstLineChars="0"/>
        <w:rPr>
          <w:rFonts w:ascii="黑体"/>
          <w:b w:val="0"/>
        </w:rPr>
      </w:pPr>
    </w:p>
    <w:p>
      <w:pPr>
        <w:pStyle w:val="24"/>
        <w:numPr>
          <w:ilvl w:val="0"/>
          <w:numId w:val="2"/>
        </w:numPr>
        <w:ind w:firstLineChars="0"/>
        <w:rPr>
          <w:rFonts w:ascii="黑体"/>
        </w:rPr>
      </w:pPr>
      <w:r>
        <w:rPr>
          <w:rFonts w:hint="eastAsia" w:ascii="黑体" w:hAnsi="黑体"/>
        </w:rPr>
        <w:t>其他需要说明的问题</w:t>
      </w:r>
    </w:p>
    <w:p>
      <w:pPr>
        <w:adjustRightInd w:val="0"/>
        <w:snapToGrid w:val="0"/>
        <w:spacing w:line="560" w:lineRule="exact"/>
        <w:ind w:firstLine="640" w:firstLineChars="200"/>
        <w:rPr>
          <w:rFonts w:hint="eastAsia" w:ascii="仿宋_GB2312" w:hAnsi="?? Light" w:eastAsia="仿宋_GB2312" w:cs="Times New Roman"/>
          <w:b w:val="0"/>
          <w:bCs/>
          <w:kern w:val="2"/>
          <w:sz w:val="32"/>
          <w:szCs w:val="32"/>
          <w:lang w:val="en-US" w:eastAsia="zh-CN" w:bidi="ar-SA"/>
        </w:rPr>
      </w:pPr>
      <w:r>
        <w:rPr>
          <w:rFonts w:hint="eastAsia" w:ascii="仿宋_GB2312" w:hAnsi="?? Light" w:eastAsia="仿宋_GB2312" w:cs="Times New Roman"/>
          <w:b w:val="0"/>
          <w:bCs/>
          <w:kern w:val="2"/>
          <w:sz w:val="32"/>
          <w:szCs w:val="32"/>
          <w:lang w:val="en-US" w:eastAsia="zh-CN" w:bidi="ar-SA"/>
        </w:rPr>
        <w:t>无</w:t>
      </w: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附件1：喀什地区动物卫生监督所开展非洲猪瘟等重大疾病防控工作项目支出绩效目标申报表</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lang w:eastAsia="zh-CN"/>
        </w:rPr>
        <w:t>：喀什地区动物卫生监督所开展非洲猪瘟等重大疾病防控工作项目支出绩效目标表</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w:t>
      </w: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lang w:eastAsia="zh-CN"/>
        </w:rPr>
        <w:t>：喀什地区动物卫生监督所开展非洲猪瘟等重大疾病防控工作项目支出绩效自评表</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w:t>
      </w:r>
      <w:r>
        <w:rPr>
          <w:rFonts w:hint="eastAsia" w:ascii="仿宋_GB2312" w:hAnsi="仿宋" w:eastAsia="仿宋_GB2312" w:cs="宋体"/>
          <w:sz w:val="32"/>
          <w:szCs w:val="32"/>
          <w:lang w:val="en-US" w:eastAsia="zh-CN"/>
        </w:rPr>
        <w:t>4</w:t>
      </w:r>
      <w:r>
        <w:rPr>
          <w:rFonts w:hint="eastAsia" w:ascii="仿宋_GB2312" w:hAnsi="仿宋" w:eastAsia="仿宋_GB2312" w:cs="宋体"/>
          <w:sz w:val="32"/>
          <w:szCs w:val="32"/>
          <w:lang w:eastAsia="zh-CN"/>
        </w:rPr>
        <w:t>：喀什地区动物卫生监督所开展非洲猪瘟等重大疾病防控工作项目支出绩效评价指标体系</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w:t>
      </w:r>
      <w:r>
        <w:rPr>
          <w:rFonts w:hint="eastAsia" w:ascii="仿宋_GB2312" w:hAnsi="仿宋" w:eastAsia="仿宋_GB2312" w:cs="宋体"/>
          <w:sz w:val="32"/>
          <w:szCs w:val="32"/>
          <w:lang w:val="en-US" w:eastAsia="zh-CN"/>
        </w:rPr>
        <w:t>5</w:t>
      </w:r>
      <w:r>
        <w:rPr>
          <w:rFonts w:hint="eastAsia" w:ascii="仿宋_GB2312" w:hAnsi="仿宋" w:eastAsia="仿宋_GB2312" w:cs="宋体"/>
          <w:sz w:val="32"/>
          <w:szCs w:val="32"/>
          <w:lang w:eastAsia="zh-CN"/>
        </w:rPr>
        <w:t>：绩效评价依据</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附件</w:t>
      </w:r>
      <w:r>
        <w:rPr>
          <w:rFonts w:hint="eastAsia" w:ascii="仿宋_GB2312" w:hAnsi="仿宋" w:eastAsia="仿宋_GB2312" w:cs="宋体"/>
          <w:sz w:val="32"/>
          <w:szCs w:val="32"/>
          <w:lang w:val="en-US" w:eastAsia="zh-CN"/>
        </w:rPr>
        <w:t>6</w:t>
      </w:r>
      <w:r>
        <w:rPr>
          <w:rFonts w:hint="eastAsia" w:ascii="仿宋_GB2312" w:hAnsi="仿宋" w:eastAsia="仿宋_GB2312" w:cs="宋体"/>
          <w:sz w:val="32"/>
          <w:szCs w:val="32"/>
          <w:lang w:eastAsia="zh-CN"/>
        </w:rPr>
        <w:t>：喀什地区动物卫生监督所开展非洲猪瘟等重大疾病防控工作项目支出绩效评价评分表</w:t>
      </w: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p>
    <w:bookmarkEnd w:id="8"/>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Segoe Print"/>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MingLiUfalt">
    <w:altName w:val="MingLiU"/>
    <w:panose1 w:val="00000000000000000000"/>
    <w:charset w:val="88"/>
    <w:family w:val="modern"/>
    <w:pitch w:val="default"/>
    <w:sig w:usb0="00000000" w:usb1="00000000" w:usb2="00000010" w:usb3="00000000" w:csb0="00100000"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rPr>
        <w:rFonts w:cs="Times New Roman"/>
      </w:rPr>
    </w:lvl>
    <w:lvl w:ilvl="1" w:tentative="0">
      <w:start w:val="1"/>
      <w:numFmt w:val="decimal"/>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22413"/>
    <w:rsid w:val="00037F93"/>
    <w:rsid w:val="00042126"/>
    <w:rsid w:val="00070D4F"/>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5F2058"/>
    <w:rsid w:val="00630E69"/>
    <w:rsid w:val="006362B2"/>
    <w:rsid w:val="0065420A"/>
    <w:rsid w:val="006869EC"/>
    <w:rsid w:val="00694A44"/>
    <w:rsid w:val="006D0AA4"/>
    <w:rsid w:val="006F2513"/>
    <w:rsid w:val="006F64CB"/>
    <w:rsid w:val="0071759F"/>
    <w:rsid w:val="007253B3"/>
    <w:rsid w:val="00731D46"/>
    <w:rsid w:val="00734BAD"/>
    <w:rsid w:val="007367C2"/>
    <w:rsid w:val="00752C57"/>
    <w:rsid w:val="00781733"/>
    <w:rsid w:val="007C5CF9"/>
    <w:rsid w:val="007D340B"/>
    <w:rsid w:val="007E5931"/>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57410"/>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872CF"/>
    <w:rsid w:val="00B9042A"/>
    <w:rsid w:val="00BA0855"/>
    <w:rsid w:val="00BA65AD"/>
    <w:rsid w:val="00BC7696"/>
    <w:rsid w:val="00C2671D"/>
    <w:rsid w:val="00C563AA"/>
    <w:rsid w:val="00C71FF0"/>
    <w:rsid w:val="00C77259"/>
    <w:rsid w:val="00C97E2D"/>
    <w:rsid w:val="00D02149"/>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4771B5"/>
    <w:rsid w:val="01BE6316"/>
    <w:rsid w:val="02385820"/>
    <w:rsid w:val="0CAF7328"/>
    <w:rsid w:val="0E7D16AA"/>
    <w:rsid w:val="11BC7646"/>
    <w:rsid w:val="1689270C"/>
    <w:rsid w:val="1BF63128"/>
    <w:rsid w:val="21C73C80"/>
    <w:rsid w:val="233F2232"/>
    <w:rsid w:val="24E73B1F"/>
    <w:rsid w:val="25132477"/>
    <w:rsid w:val="26F03C06"/>
    <w:rsid w:val="26F32971"/>
    <w:rsid w:val="294E559A"/>
    <w:rsid w:val="2A547683"/>
    <w:rsid w:val="2E0E13B0"/>
    <w:rsid w:val="38816F69"/>
    <w:rsid w:val="3B494375"/>
    <w:rsid w:val="3DD70536"/>
    <w:rsid w:val="40190139"/>
    <w:rsid w:val="4AFF122D"/>
    <w:rsid w:val="55F97F6D"/>
    <w:rsid w:val="5636336C"/>
    <w:rsid w:val="583D7074"/>
    <w:rsid w:val="6168174D"/>
    <w:rsid w:val="62823F5C"/>
    <w:rsid w:val="667765BF"/>
    <w:rsid w:val="66EE1E2A"/>
    <w:rsid w:val="6E956420"/>
    <w:rsid w:val="704C7723"/>
    <w:rsid w:val="7775238E"/>
    <w:rsid w:val="78960912"/>
    <w:rsid w:val="7A8638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1"/>
      <w:lang w:val="en-US" w:eastAsia="zh-CN" w:bidi="ar-SA"/>
    </w:rPr>
  </w:style>
  <w:style w:type="paragraph" w:styleId="3">
    <w:name w:val="heading 1"/>
    <w:basedOn w:val="1"/>
    <w:next w:val="1"/>
    <w:link w:val="17"/>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18"/>
    <w:qFormat/>
    <w:uiPriority w:val="99"/>
    <w:pPr>
      <w:keepNext/>
      <w:keepLines/>
      <w:spacing w:before="260" w:after="260" w:line="416" w:lineRule="auto"/>
      <w:outlineLvl w:val="1"/>
    </w:pPr>
    <w:rPr>
      <w:rFonts w:ascii="?? Light" w:hAnsi="?? Light"/>
      <w:b/>
      <w:bCs/>
      <w:sz w:val="32"/>
      <w:szCs w:val="32"/>
    </w:rPr>
  </w:style>
  <w:style w:type="paragraph" w:styleId="2">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2">
    <w:name w:val="Default Paragraph Font"/>
    <w:semiHidden/>
    <w:qFormat/>
    <w:uiPriority w:val="99"/>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qFormat/>
    <w:uiPriority w:val="99"/>
    <w:rPr>
      <w:rFonts w:eastAsia="仿宋_GB2312"/>
      <w:sz w:val="28"/>
    </w:rPr>
  </w:style>
  <w:style w:type="paragraph" w:styleId="6">
    <w:name w:val="Balloon Text"/>
    <w:basedOn w:val="1"/>
    <w:link w:val="20"/>
    <w:semiHidden/>
    <w:qFormat/>
    <w:uiPriority w:val="99"/>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99"/>
    <w:rPr>
      <w:rFonts w:eastAsia="仿宋_GB2312"/>
      <w:sz w:val="28"/>
    </w:rPr>
  </w:style>
  <w:style w:type="paragraph" w:styleId="10">
    <w:name w:val="toc 2"/>
    <w:basedOn w:val="1"/>
    <w:next w:val="1"/>
    <w:qFormat/>
    <w:uiPriority w:val="99"/>
    <w:rPr>
      <w:rFonts w:eastAsia="仿宋_GB2312"/>
      <w:sz w:val="2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basedOn w:val="12"/>
    <w:qFormat/>
    <w:uiPriority w:val="99"/>
    <w:rPr>
      <w:rFonts w:cs="Times New Roman"/>
      <w:b/>
      <w:bCs/>
    </w:rPr>
  </w:style>
  <w:style w:type="character" w:styleId="14">
    <w:name w:val="Hyperlink"/>
    <w:basedOn w:val="12"/>
    <w:qFormat/>
    <w:uiPriority w:val="99"/>
    <w:rPr>
      <w:rFonts w:cs="Times New Roman"/>
      <w:color w:val="0563C1"/>
      <w:u w:val="single"/>
    </w:rPr>
  </w:style>
  <w:style w:type="table" w:styleId="16">
    <w:name w:val="Table Grid"/>
    <w:basedOn w:val="15"/>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Heading 1 Char"/>
    <w:basedOn w:val="12"/>
    <w:link w:val="3"/>
    <w:qFormat/>
    <w:locked/>
    <w:uiPriority w:val="99"/>
    <w:rPr>
      <w:rFonts w:ascii="Times New Roman" w:hAnsi="Times New Roman" w:eastAsia="黑体" w:cs="Arial"/>
      <w:b/>
      <w:bCs/>
      <w:kern w:val="44"/>
      <w:sz w:val="44"/>
      <w:szCs w:val="44"/>
    </w:rPr>
  </w:style>
  <w:style w:type="character" w:customStyle="1" w:styleId="18">
    <w:name w:val="Heading 2 Char"/>
    <w:basedOn w:val="12"/>
    <w:link w:val="4"/>
    <w:qFormat/>
    <w:locked/>
    <w:uiPriority w:val="99"/>
    <w:rPr>
      <w:rFonts w:ascii="?? Light" w:hAnsi="?? Light" w:eastAsia="Times New Roman" w:cs="Times New Roman"/>
      <w:b/>
      <w:bCs/>
      <w:sz w:val="32"/>
      <w:szCs w:val="32"/>
    </w:rPr>
  </w:style>
  <w:style w:type="character" w:customStyle="1" w:styleId="19">
    <w:name w:val="Heading 3 Char"/>
    <w:basedOn w:val="12"/>
    <w:link w:val="2"/>
    <w:semiHidden/>
    <w:qFormat/>
    <w:locked/>
    <w:uiPriority w:val="99"/>
    <w:rPr>
      <w:rFonts w:cs="Times New Roman"/>
      <w:b/>
      <w:bCs/>
      <w:sz w:val="32"/>
      <w:szCs w:val="32"/>
    </w:rPr>
  </w:style>
  <w:style w:type="character" w:customStyle="1" w:styleId="20">
    <w:name w:val="Balloon Text Char"/>
    <w:basedOn w:val="12"/>
    <w:link w:val="6"/>
    <w:semiHidden/>
    <w:qFormat/>
    <w:locked/>
    <w:uiPriority w:val="99"/>
    <w:rPr>
      <w:rFonts w:cs="Times New Roman"/>
      <w:sz w:val="18"/>
      <w:szCs w:val="18"/>
    </w:rPr>
  </w:style>
  <w:style w:type="character" w:customStyle="1" w:styleId="21">
    <w:name w:val="Footer Char"/>
    <w:basedOn w:val="12"/>
    <w:link w:val="7"/>
    <w:qFormat/>
    <w:locked/>
    <w:uiPriority w:val="99"/>
    <w:rPr>
      <w:rFonts w:cs="Times New Roman"/>
      <w:sz w:val="18"/>
      <w:szCs w:val="18"/>
    </w:rPr>
  </w:style>
  <w:style w:type="character" w:customStyle="1" w:styleId="22">
    <w:name w:val="Header Char"/>
    <w:basedOn w:val="12"/>
    <w:link w:val="8"/>
    <w:qFormat/>
    <w:locked/>
    <w:uiPriority w:val="99"/>
    <w:rPr>
      <w:rFonts w:cs="Times New Roman"/>
      <w:sz w:val="18"/>
      <w:szCs w:val="18"/>
    </w:rPr>
  </w:style>
  <w:style w:type="paragraph" w:styleId="23">
    <w:name w:val="List Paragraph"/>
    <w:basedOn w:val="1"/>
    <w:qFormat/>
    <w:uiPriority w:val="99"/>
    <w:pPr>
      <w:ind w:firstLine="420" w:firstLineChars="200"/>
    </w:pPr>
  </w:style>
  <w:style w:type="paragraph" w:customStyle="1" w:styleId="24">
    <w:name w:val="标题1"/>
    <w:basedOn w:val="3"/>
    <w:qFormat/>
    <w:uiPriority w:val="99"/>
    <w:pPr>
      <w:spacing w:before="120" w:after="120" w:line="500" w:lineRule="exact"/>
      <w:ind w:firstLine="200" w:firstLineChars="200"/>
    </w:pPr>
    <w:rPr>
      <w:rFonts w:cs="Times New Roman"/>
      <w:sz w:val="32"/>
      <w:szCs w:val="32"/>
    </w:rPr>
  </w:style>
  <w:style w:type="paragraph" w:customStyle="1" w:styleId="25">
    <w:name w:val="标题2"/>
    <w:basedOn w:val="4"/>
    <w:qFormat/>
    <w:uiPriority w:val="99"/>
    <w:pPr>
      <w:numPr>
        <w:ilvl w:val="0"/>
        <w:numId w:val="1"/>
      </w:numPr>
      <w:spacing w:before="120" w:after="120" w:line="500" w:lineRule="exact"/>
    </w:pPr>
    <w:rPr>
      <w:rFonts w:ascii="仿宋_GB2312" w:eastAsia="仿宋_GB2312"/>
    </w:rPr>
  </w:style>
  <w:style w:type="paragraph" w:customStyle="1" w:styleId="26">
    <w:name w:val="TOC 标题1"/>
    <w:basedOn w:val="3"/>
    <w:next w:val="1"/>
    <w:qFormat/>
    <w:uiPriority w:val="99"/>
    <w:pPr>
      <w:widowControl/>
      <w:spacing w:before="240" w:after="0" w:line="259" w:lineRule="auto"/>
      <w:jc w:val="left"/>
      <w:outlineLvl w:val="9"/>
    </w:pPr>
    <w:rPr>
      <w:rFonts w:ascii="?? Light" w:hAnsi="?? Light" w:eastAsia="宋体" w:cs="Times New Roman"/>
      <w:b w:val="0"/>
      <w:bCs w:val="0"/>
      <w:color w:val="2F5496"/>
      <w:kern w:val="0"/>
      <w:sz w:val="32"/>
      <w:szCs w:val="32"/>
    </w:rPr>
  </w:style>
  <w:style w:type="character" w:customStyle="1" w:styleId="27">
    <w:name w:val="闻政正文 Char"/>
    <w:link w:val="28"/>
    <w:qFormat/>
    <w:locked/>
    <w:uiPriority w:val="99"/>
    <w:rPr>
      <w:rFonts w:ascii="Times New Roman" w:hAnsi="Times New Roman" w:eastAsia="仿宋_GB2312"/>
      <w:sz w:val="28"/>
    </w:rPr>
  </w:style>
  <w:style w:type="paragraph" w:customStyle="1" w:styleId="28">
    <w:name w:val="闻政正文"/>
    <w:basedOn w:val="1"/>
    <w:link w:val="27"/>
    <w:qFormat/>
    <w:uiPriority w:val="99"/>
    <w:pPr>
      <w:spacing w:line="500" w:lineRule="exact"/>
      <w:ind w:firstLine="560" w:firstLineChars="200"/>
    </w:pPr>
    <w:rPr>
      <w:rFonts w:ascii="Times New Roman" w:hAnsi="Times New Roman" w:eastAsia="仿宋_GB2312"/>
      <w:kern w:val="0"/>
      <w:sz w:val="28"/>
      <w:szCs w:val="28"/>
    </w:rPr>
  </w:style>
  <w:style w:type="character" w:customStyle="1" w:styleId="29">
    <w:name w:val="闻政表 Char"/>
    <w:link w:val="30"/>
    <w:qFormat/>
    <w:locked/>
    <w:uiPriority w:val="99"/>
    <w:rPr>
      <w:rFonts w:ascii="Times New Roman" w:hAnsi="Times New Roman" w:eastAsia="仿宋_GB2312"/>
      <w:b/>
      <w:sz w:val="28"/>
    </w:rPr>
  </w:style>
  <w:style w:type="paragraph" w:customStyle="1" w:styleId="30">
    <w:name w:val="闻政表"/>
    <w:basedOn w:val="1"/>
    <w:link w:val="29"/>
    <w:qFormat/>
    <w:uiPriority w:val="99"/>
    <w:pPr>
      <w:spacing w:before="60" w:after="60"/>
      <w:jc w:val="center"/>
    </w:pPr>
    <w:rPr>
      <w:rFonts w:ascii="Times New Roman" w:hAnsi="Times New Roman" w:eastAsia="仿宋_GB2312"/>
      <w:b/>
      <w:kern w:val="0"/>
      <w:sz w:val="24"/>
      <w:szCs w:val="28"/>
    </w:rPr>
  </w:style>
  <w:style w:type="paragraph" w:customStyle="1" w:styleId="31">
    <w:name w:val="Char"/>
    <w:basedOn w:val="1"/>
    <w:qFormat/>
    <w:uiPriority w:val="99"/>
    <w:pPr>
      <w:widowControl/>
      <w:spacing w:after="160" w:line="240" w:lineRule="exact"/>
      <w:jc w:val="left"/>
    </w:pPr>
    <w:rPr>
      <w:rFonts w:ascii="Times New Roman" w:hAnsi="Times New Roman"/>
      <w:szCs w:val="22"/>
    </w:rPr>
  </w:style>
  <w:style w:type="character" w:customStyle="1" w:styleId="32">
    <w:name w:val="闻政标题3 Char"/>
    <w:link w:val="33"/>
    <w:qFormat/>
    <w:locked/>
    <w:uiPriority w:val="99"/>
    <w:rPr>
      <w:rFonts w:ascii="黑体" w:hAnsi="黑体" w:eastAsia="黑体"/>
      <w:sz w:val="32"/>
    </w:rPr>
  </w:style>
  <w:style w:type="paragraph" w:customStyle="1" w:styleId="33">
    <w:name w:val="闻政标题3"/>
    <w:basedOn w:val="2"/>
    <w:link w:val="32"/>
    <w:qFormat/>
    <w:uiPriority w:val="99"/>
    <w:pPr>
      <w:spacing w:before="120" w:after="60" w:line="500" w:lineRule="exact"/>
      <w:jc w:val="left"/>
      <w:outlineLvl w:val="0"/>
    </w:pPr>
    <w:rPr>
      <w:rFonts w:ascii="黑体" w:hAnsi="黑体" w:eastAsia="黑体"/>
      <w:b w:val="0"/>
      <w:kern w:val="0"/>
    </w:rPr>
  </w:style>
  <w:style w:type="paragraph" w:customStyle="1" w:styleId="34">
    <w:name w:val="Body text|1"/>
    <w:basedOn w:val="1"/>
    <w:link w:val="35"/>
    <w:qFormat/>
    <w:uiPriority w:val="99"/>
    <w:pPr>
      <w:spacing w:after="40" w:line="334" w:lineRule="auto"/>
    </w:pPr>
    <w:rPr>
      <w:rFonts w:ascii="MingLiUfalt" w:hAnsi="MingLiUfalt" w:eastAsia="MingLiUfalt" w:cs="MingLiUfalt"/>
      <w:sz w:val="20"/>
      <w:szCs w:val="20"/>
      <w:lang w:val="zh-TW" w:eastAsia="zh-TW"/>
    </w:rPr>
  </w:style>
  <w:style w:type="character" w:customStyle="1" w:styleId="35">
    <w:name w:val="Body text|1_"/>
    <w:basedOn w:val="12"/>
    <w:link w:val="34"/>
    <w:qFormat/>
    <w:locked/>
    <w:uiPriority w:val="99"/>
    <w:rPr>
      <w:rFonts w:ascii="MingLiUfalt" w:hAnsi="MingLiUfalt" w:eastAsia="MingLiUfalt" w:cs="MingLiUfalt"/>
      <w:sz w:val="20"/>
      <w:szCs w:val="20"/>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9</Pages>
  <Words>492</Words>
  <Characters>2807</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2020-09-05T05:59:12Z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