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/>
        <w:jc w:val="center"/>
        <w:rPr>
          <w:rFonts w:ascii="方正小标宋简体" w:eastAsia="方正小标宋简体"/>
          <w:sz w:val="44"/>
          <w:szCs w:val="44"/>
        </w:rPr>
      </w:pPr>
      <w:bookmarkStart w:id="8" w:name="_GoBack"/>
    </w:p>
    <w:p>
      <w:pPr>
        <w:spacing w:before="156" w:beforeLines="5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before="156" w:beforeLines="5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before="156" w:beforeLines="5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喀什地区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畜牧工作站肉羊良繁中心技术指导服务项目支出</w:t>
      </w:r>
      <w:r>
        <w:rPr>
          <w:rFonts w:hint="eastAsia" w:ascii="方正小标宋简体" w:eastAsia="方正小标宋简体"/>
          <w:sz w:val="44"/>
          <w:szCs w:val="44"/>
        </w:rPr>
        <w:t>绩效评价报告</w:t>
      </w:r>
    </w:p>
    <w:p>
      <w:pPr>
        <w:spacing w:before="156"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="156"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="156"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="156"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项目名称：</w:t>
      </w:r>
      <w:r>
        <w:rPr>
          <w:rFonts w:hint="eastAsia" w:hAnsi="宋体" w:eastAsia="仿宋_GB2312" w:cs="宋体"/>
          <w:color w:val="000000" w:themeColor="text1"/>
          <w:kern w:val="0"/>
          <w:sz w:val="32"/>
          <w:szCs w:val="32"/>
        </w:rPr>
        <w:t>喀什地区肉羊良繁中心技术指导服务项目</w:t>
      </w: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实施单位：</w:t>
      </w:r>
      <w:r>
        <w:rPr>
          <w:rFonts w:hint="eastAsia" w:hAnsi="宋体" w:eastAsia="仿宋_GB2312" w:cs="宋体"/>
          <w:color w:val="000000" w:themeColor="text1"/>
          <w:kern w:val="0"/>
          <w:sz w:val="36"/>
          <w:szCs w:val="36"/>
        </w:rPr>
        <w:t>喀什地区畜牧</w:t>
      </w:r>
      <w:r>
        <w:rPr>
          <w:rFonts w:hint="eastAsia" w:hAnsi="宋体" w:eastAsia="仿宋_GB2312" w:cs="宋体"/>
          <w:color w:val="000000" w:themeColor="text1"/>
          <w:kern w:val="0"/>
          <w:sz w:val="36"/>
          <w:szCs w:val="36"/>
          <w:lang w:eastAsia="zh-CN"/>
        </w:rPr>
        <w:t>工作站</w:t>
      </w: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评价部门：</w:t>
      </w:r>
      <w:r>
        <w:rPr>
          <w:rFonts w:hint="eastAsia" w:hAnsi="宋体" w:eastAsia="仿宋_GB2312" w:cs="宋体"/>
          <w:color w:val="000000" w:themeColor="text1"/>
          <w:kern w:val="0"/>
          <w:sz w:val="36"/>
          <w:szCs w:val="36"/>
        </w:rPr>
        <w:t>喀什地区畜牧</w:t>
      </w:r>
      <w:r>
        <w:rPr>
          <w:rFonts w:hint="eastAsia" w:hAnsi="宋体" w:eastAsia="仿宋_GB2312" w:cs="宋体"/>
          <w:color w:val="000000" w:themeColor="text1"/>
          <w:kern w:val="0"/>
          <w:sz w:val="36"/>
          <w:szCs w:val="36"/>
          <w:lang w:eastAsia="zh-CN"/>
        </w:rPr>
        <w:t>工作站</w:t>
      </w: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2136" w:firstLineChars="6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2848" w:firstLineChars="8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二零二零年四月</w:t>
      </w:r>
    </w:p>
    <w:p>
      <w:pPr>
        <w:pStyle w:val="21"/>
        <w:numPr>
          <w:ilvl w:val="0"/>
          <w:numId w:val="2"/>
        </w:numPr>
        <w:ind w:firstLineChars="0"/>
      </w:pPr>
      <w:r>
        <w:rPr>
          <w:rFonts w:hint="eastAsia"/>
        </w:rPr>
        <w:t>基本情况</w:t>
      </w:r>
    </w:p>
    <w:p>
      <w:pPr>
        <w:pStyle w:val="23"/>
        <w:ind w:left="0" w:firstLine="643" w:firstLineChars="200"/>
      </w:pPr>
      <w:bookmarkStart w:id="0" w:name="_Toc26401549"/>
      <w:r>
        <w:rPr>
          <w:rFonts w:hint="eastAsia"/>
        </w:rPr>
        <w:t>项目概况</w:t>
      </w:r>
      <w:bookmarkEnd w:id="0"/>
    </w:p>
    <w:p>
      <w:pPr>
        <w:pStyle w:val="17"/>
        <w:numPr>
          <w:ilvl w:val="0"/>
          <w:numId w:val="0"/>
        </w:num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  <w:lang w:val="en-US" w:eastAsia="zh-CN"/>
        </w:rPr>
        <w:t>1.</w:t>
      </w:r>
      <w:r>
        <w:rPr>
          <w:rFonts w:hint="eastAsia" w:ascii="仿宋_GB2312" w:hAnsi="仿宋" w:eastAsia="仿宋_GB2312" w:cs="宋体"/>
          <w:sz w:val="32"/>
          <w:szCs w:val="32"/>
        </w:rPr>
        <w:t>项目背景及立项依据</w:t>
      </w:r>
    </w:p>
    <w:p>
      <w:pPr>
        <w:spacing w:line="560" w:lineRule="exact"/>
        <w:ind w:firstLine="640" w:firstLineChars="200"/>
        <w:jc w:val="both"/>
        <w:rPr>
          <w:rFonts w:hint="eastAsia" w:ascii="仿宋_GB2312" w:hAnsi="仿宋" w:eastAsia="仿宋_GB2312" w:cs="宋体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宋体"/>
          <w:kern w:val="2"/>
          <w:sz w:val="32"/>
          <w:szCs w:val="32"/>
          <w:lang w:val="en-US" w:eastAsia="zh-CN" w:bidi="ar-SA"/>
        </w:rPr>
        <w:t>本项目根据地委、行署关于2020年喀什地区深度贫困村全面脱贫提出畜牧业实现每个贫困户年增收500元的目标任务，及《喀什地区2019年畜牧良种繁育中心建设实施方案》，到2019年，12县市计划并新建、扩建肉羊良繁中心51个，加快肉羊良种繁育中心的发展带动，是保证我区脱贫攻坚任务畜牧业增收部分的顺利实现，我站做为畜牧实用技术推广服务部门，有任务做好全区肉羊良种繁育中心的技术服务工作，做好“四良一规范”配套技术推广，肉羊高效密频繁殖，肉羊高效养殖技术，实现羊肉产品的快速增长，该项目的实施将为我区畜牧业发展和农牧民增收提供有力的保障，同时亦是推进我区肉羊产业向现代化方向转变，促进我区畜牧业转型升级的重要机遇。本项目喀什地区等相关扶贫政策、规划和法律法规。</w:t>
      </w:r>
    </w:p>
    <w:p>
      <w:pPr>
        <w:pStyle w:val="17"/>
        <w:numPr>
          <w:ilvl w:val="0"/>
          <w:numId w:val="0"/>
        </w:num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  <w:lang w:val="en-US" w:eastAsia="zh-CN"/>
        </w:rPr>
        <w:t>2.</w:t>
      </w:r>
      <w:r>
        <w:rPr>
          <w:rFonts w:hint="eastAsia" w:ascii="仿宋_GB2312" w:hAnsi="仿宋" w:eastAsia="仿宋_GB2312" w:cs="宋体"/>
          <w:sz w:val="32"/>
          <w:szCs w:val="32"/>
        </w:rPr>
        <w:t>项目主要内容及实施情况</w:t>
      </w:r>
    </w:p>
    <w:p>
      <w:pPr>
        <w:spacing w:before="156" w:beforeLines="50" w:line="6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项目实施前进行充分调研，制定实施方案，项目实施过程中严格按照实施方案进行实施并及时进行监督管理</w:t>
      </w:r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本项目的实施在全区12个县（市）内实施，按照《喀什地区2019年畜牧良种繁育中心建设实施方案》，我站计划派出</w:t>
      </w:r>
      <w:r>
        <w:rPr>
          <w:rFonts w:ascii="仿宋" w:hAnsi="仿宋" w:eastAsia="仿宋" w:cs="仿宋"/>
          <w:sz w:val="32"/>
          <w:szCs w:val="32"/>
          <w:lang w:eastAsia="zh-CN"/>
        </w:rPr>
        <w:t>4名专业技术骨干对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2019年新建成的</w:t>
      </w:r>
      <w:r>
        <w:rPr>
          <w:rFonts w:ascii="仿宋" w:hAnsi="仿宋" w:eastAsia="仿宋" w:cs="仿宋"/>
          <w:sz w:val="32"/>
          <w:szCs w:val="32"/>
          <w:lang w:eastAsia="zh-CN"/>
        </w:rPr>
        <w:t>35个肉羊良种繁育中心进行技术指导服务，每个中心全年不少于4次指导服务，指导服务天数140天以上，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做好全区肉羊良种繁育中心的技术服务工作，做好“四良一规范”配套技术推广，肉羊高效密频繁殖，肉羊高效养殖技术，</w:t>
      </w:r>
      <w:r>
        <w:rPr>
          <w:rFonts w:ascii="仿宋" w:hAnsi="仿宋" w:eastAsia="仿宋" w:cs="仿宋"/>
          <w:sz w:val="32"/>
          <w:szCs w:val="32"/>
          <w:lang w:eastAsia="zh-CN"/>
        </w:rPr>
        <w:t>加快肉羊良种繁育中心的发展带动，是保证我区脱贫攻坚任务畜牧业增收部分的顺利实现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tabs>
          <w:tab w:val="left" w:pos="7770"/>
        </w:tabs>
        <w:spacing w:before="156" w:beforeLines="50" w:line="600" w:lineRule="exact"/>
        <w:ind w:firstLine="645"/>
        <w:rPr>
          <w:rFonts w:hint="eastAsia"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3.项目负责人为</w:t>
      </w:r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孙利萍</w:t>
      </w:r>
      <w:r>
        <w:rPr>
          <w:rFonts w:hint="eastAsia" w:ascii="仿宋_GB2312" w:hAnsi="仿宋" w:eastAsia="仿宋_GB2312" w:cs="宋体"/>
          <w:sz w:val="32"/>
          <w:szCs w:val="32"/>
        </w:rPr>
        <w:t>，主要职责为为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负责项目监督管理，项目资金的预算、支出审批等。</w:t>
      </w:r>
    </w:p>
    <w:p>
      <w:pPr>
        <w:pStyle w:val="23"/>
        <w:ind w:left="0" w:firstLine="643" w:firstLineChars="200"/>
      </w:pPr>
      <w:bookmarkStart w:id="1" w:name="_Toc26401550"/>
      <w:r>
        <w:rPr>
          <w:rFonts w:hint="eastAsia"/>
        </w:rPr>
        <w:t>资金</w:t>
      </w:r>
      <w:bookmarkEnd w:id="1"/>
      <w:r>
        <w:rPr>
          <w:rFonts w:hint="eastAsia"/>
        </w:rPr>
        <w:t>投入和使用情况</w:t>
      </w:r>
    </w:p>
    <w:p>
      <w:pPr>
        <w:spacing w:before="156" w:beforeLines="50" w:line="600" w:lineRule="exact"/>
        <w:ind w:firstLine="645"/>
        <w:rPr>
          <w:rFonts w:hint="eastAsia"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本项目总投资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 w:cs="宋体"/>
          <w:sz w:val="32"/>
          <w:szCs w:val="32"/>
        </w:rPr>
        <w:t>元，资金来源为本级部门预算资金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 w:cs="宋体"/>
          <w:sz w:val="32"/>
          <w:szCs w:val="32"/>
        </w:rPr>
        <w:t>元。</w:t>
      </w:r>
    </w:p>
    <w:p>
      <w:pPr>
        <w:spacing w:before="156" w:beforeLines="50" w:line="600" w:lineRule="exact"/>
        <w:ind w:firstLine="645"/>
        <w:rPr>
          <w:rFonts w:hint="eastAsia" w:ascii="仿宋" w:hAnsi="仿宋" w:eastAsia="仿宋"/>
          <w:bCs/>
          <w:color w:val="000000" w:themeColor="text1"/>
          <w:sz w:val="30"/>
        </w:rPr>
      </w:pPr>
      <w:r>
        <w:rPr>
          <w:rFonts w:hint="eastAsia" w:hAnsi="宋体" w:eastAsia="仿宋_GB2312" w:cs="宋体"/>
          <w:color w:val="000000" w:themeColor="text1"/>
          <w:kern w:val="0"/>
          <w:sz w:val="32"/>
          <w:szCs w:val="32"/>
        </w:rPr>
        <w:t>喀什地区肉羊良繁中心技术指导服务项目</w:t>
      </w:r>
      <w:r>
        <w:rPr>
          <w:rFonts w:hint="eastAsia" w:ascii="仿宋_GB2312" w:hAnsi="仿宋" w:eastAsia="仿宋_GB2312" w:cs="宋体"/>
          <w:sz w:val="32"/>
          <w:szCs w:val="32"/>
        </w:rPr>
        <w:t>资金的使用范围：</w:t>
      </w:r>
      <w:r>
        <w:rPr>
          <w:rFonts w:hint="eastAsia" w:ascii="仿宋" w:hAnsi="仿宋" w:eastAsia="仿宋"/>
          <w:bCs/>
          <w:color w:val="000000" w:themeColor="text1"/>
          <w:sz w:val="30"/>
        </w:rPr>
        <w:t>项目资金主要用于</w:t>
      </w:r>
      <w:r>
        <w:rPr>
          <w:rFonts w:hint="eastAsia" w:ascii="仿宋" w:hAnsi="仿宋" w:eastAsia="仿宋"/>
          <w:bCs/>
          <w:color w:val="000000" w:themeColor="text1"/>
          <w:sz w:val="30"/>
          <w:lang w:eastAsia="zh-CN"/>
        </w:rPr>
        <w:t>执行项目产生的相关费用，包括：差旅费</w:t>
      </w:r>
      <w:r>
        <w:rPr>
          <w:rFonts w:hint="eastAsia" w:ascii="仿宋" w:hAnsi="仿宋" w:eastAsia="仿宋"/>
          <w:bCs/>
          <w:color w:val="000000" w:themeColor="text1"/>
          <w:sz w:val="30"/>
          <w:lang w:val="en-US" w:eastAsia="zh-CN"/>
        </w:rPr>
        <w:t>3.5</w:t>
      </w:r>
      <w:r>
        <w:rPr>
          <w:rFonts w:hint="eastAsia" w:ascii="仿宋" w:hAnsi="仿宋" w:eastAsia="仿宋"/>
          <w:bCs/>
          <w:color w:val="000000" w:themeColor="text1"/>
          <w:sz w:val="30"/>
        </w:rPr>
        <w:t>万元、</w:t>
      </w:r>
      <w:r>
        <w:rPr>
          <w:rFonts w:hint="eastAsia" w:ascii="仿宋" w:hAnsi="仿宋" w:eastAsia="仿宋"/>
          <w:bCs/>
          <w:color w:val="000000" w:themeColor="text1"/>
          <w:sz w:val="30"/>
          <w:lang w:eastAsia="zh-CN"/>
        </w:rPr>
        <w:t>车辆运行费用</w:t>
      </w:r>
      <w:r>
        <w:rPr>
          <w:rFonts w:hint="eastAsia" w:ascii="仿宋" w:hAnsi="仿宋" w:eastAsia="仿宋"/>
          <w:bCs/>
          <w:color w:val="000000" w:themeColor="text1"/>
          <w:sz w:val="30"/>
          <w:lang w:val="en-US" w:eastAsia="zh-CN"/>
        </w:rPr>
        <w:t>1.</w:t>
      </w:r>
      <w:r>
        <w:rPr>
          <w:rFonts w:hint="eastAsia" w:ascii="仿宋" w:hAnsi="仿宋" w:eastAsia="仿宋"/>
          <w:bCs/>
          <w:color w:val="000000" w:themeColor="text1"/>
          <w:sz w:val="30"/>
        </w:rPr>
        <w:t>5万元。</w:t>
      </w:r>
    </w:p>
    <w:p>
      <w:pPr>
        <w:pStyle w:val="23"/>
        <w:ind w:left="0" w:firstLine="643" w:firstLineChars="200"/>
      </w:pPr>
      <w:bookmarkStart w:id="2" w:name="_Toc26401551"/>
      <w:r>
        <w:rPr>
          <w:rFonts w:hint="eastAsia"/>
        </w:rPr>
        <w:t>绩效目标</w:t>
      </w:r>
      <w:bookmarkEnd w:id="2"/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总体目标为：2019年全年做好我区约35个肉羊良繁中心“四良一规范”配套技术指导服务工作，提高肉羊场科学养殖水平，保障“四良一规范”技术有效推广，并逐年提高我区肉羊产业发展，为贫困农牧民脱贫与持续增收提供产业支撑，加快实现我区贫困农牧民全面脱贫目标，项目实施后受益群众满意率达85%。</w:t>
      </w:r>
    </w:p>
    <w:p>
      <w:pPr>
        <w:spacing w:before="156" w:beforeLines="50" w:line="600" w:lineRule="exact"/>
        <w:rPr>
          <w:rFonts w:ascii="仿宋_GB2312" w:hAnsi="仿宋" w:eastAsia="仿宋_GB2312" w:cs="宋体"/>
          <w:color w:val="FF0000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 xml:space="preserve"> </w:t>
      </w:r>
      <w:r>
        <w:rPr>
          <w:rFonts w:ascii="仿宋_GB2312" w:hAnsi="仿宋" w:eastAsia="仿宋_GB2312" w:cs="宋体"/>
          <w:sz w:val="32"/>
          <w:szCs w:val="32"/>
        </w:rPr>
        <w:t xml:space="preserve">   </w:t>
      </w:r>
      <w:r>
        <w:rPr>
          <w:rFonts w:hint="eastAsia" w:ascii="仿宋_GB2312" w:hAnsi="仿宋" w:eastAsia="仿宋_GB2312" w:cs="宋体"/>
          <w:sz w:val="32"/>
          <w:szCs w:val="32"/>
        </w:rPr>
        <w:t>项目共设置</w:t>
      </w:r>
      <w:r>
        <w:rPr>
          <w:rFonts w:hint="eastAsia" w:ascii="仿宋" w:hAnsi="仿宋" w:eastAsia="仿宋"/>
          <w:bCs/>
          <w:color w:val="000000" w:themeColor="text1"/>
          <w:sz w:val="30"/>
        </w:rPr>
        <w:t>一级指标3个，二级指标7个，三级指标</w:t>
      </w:r>
      <w:r>
        <w:rPr>
          <w:rFonts w:hint="eastAsia" w:ascii="仿宋" w:hAnsi="仿宋" w:eastAsia="仿宋"/>
          <w:bCs/>
          <w:color w:val="000000" w:themeColor="text1"/>
          <w:sz w:val="30"/>
          <w:lang w:val="en-US" w:eastAsia="zh-CN"/>
        </w:rPr>
        <w:t>10</w:t>
      </w:r>
      <w:r>
        <w:rPr>
          <w:rFonts w:hint="eastAsia" w:ascii="仿宋" w:hAnsi="仿宋" w:eastAsia="仿宋"/>
          <w:bCs/>
          <w:color w:val="000000" w:themeColor="text1"/>
          <w:sz w:val="30"/>
        </w:rPr>
        <w:t>个，</w:t>
      </w:r>
      <w:r>
        <w:rPr>
          <w:rFonts w:hint="eastAsia" w:ascii="仿宋_GB2312" w:hAnsi="仿宋" w:eastAsia="仿宋_GB2312" w:cs="宋体"/>
          <w:sz w:val="32"/>
          <w:szCs w:val="32"/>
        </w:rPr>
        <w:t>绩效目标申报表详见附件1。</w:t>
      </w:r>
    </w:p>
    <w:p>
      <w:pPr>
        <w:pStyle w:val="21"/>
        <w:numPr>
          <w:ilvl w:val="0"/>
          <w:numId w:val="2"/>
        </w:numPr>
        <w:ind w:firstLineChars="0"/>
      </w:pPr>
      <w:bookmarkStart w:id="3" w:name="_Toc26401552"/>
      <w:r>
        <w:rPr>
          <w:rFonts w:hint="eastAsia"/>
        </w:rPr>
        <w:t>评价工作简述</w:t>
      </w:r>
      <w:bookmarkEnd w:id="3"/>
    </w:p>
    <w:p>
      <w:pPr>
        <w:pStyle w:val="23"/>
        <w:numPr>
          <w:ilvl w:val="0"/>
          <w:numId w:val="3"/>
        </w:numPr>
        <w:ind w:left="0" w:firstLine="643" w:firstLineChars="200"/>
      </w:pPr>
      <w:bookmarkStart w:id="4" w:name="_Toc26401553"/>
      <w:r>
        <w:rPr>
          <w:rFonts w:hint="eastAsia"/>
        </w:rPr>
        <w:t>评价目的</w:t>
      </w:r>
      <w:bookmarkEnd w:id="4"/>
    </w:p>
    <w:p>
      <w:pPr>
        <w:spacing w:line="540" w:lineRule="exact"/>
        <w:ind w:firstLine="800" w:firstLineChars="250"/>
        <w:rPr>
          <w:rFonts w:ascii="仿宋_GB2312" w:hAnsi="仿宋" w:eastAsia="仿宋_GB2312" w:cs="宋体"/>
          <w:color w:val="FF0000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本次绩效评价遵循财政部《项目</w:t>
      </w:r>
      <w:r>
        <w:rPr>
          <w:rFonts w:ascii="仿宋_GB2312" w:hAnsi="仿宋" w:eastAsia="仿宋_GB2312" w:cs="宋体"/>
          <w:sz w:val="32"/>
          <w:szCs w:val="32"/>
        </w:rPr>
        <w:t>支出绩效评价管理办法》（财预〔2020〕10号）和自治区财政厅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《自治区财政支出绩效评价管理暂行办法》（新财预〔</w:t>
      </w:r>
      <w:r>
        <w:rPr>
          <w:rFonts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2018〕189号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）</w:t>
      </w:r>
      <w:r>
        <w:rPr>
          <w:rFonts w:ascii="仿宋_GB2312" w:hAnsi="仿宋" w:eastAsia="仿宋_GB2312" w:cs="宋体"/>
          <w:sz w:val="32"/>
          <w:szCs w:val="32"/>
        </w:rPr>
        <w:t>等相关政策文件与规定，</w:t>
      </w:r>
      <w:r>
        <w:rPr>
          <w:rFonts w:hint="eastAsia" w:ascii="仿宋_GB2312" w:hAnsi="仿宋" w:eastAsia="仿宋_GB2312" w:cs="宋体"/>
          <w:sz w:val="32"/>
          <w:szCs w:val="32"/>
        </w:rPr>
        <w:t>旨在评价</w:t>
      </w:r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肉羊良繁中心技术指导服务项目</w:t>
      </w:r>
      <w:r>
        <w:rPr>
          <w:rFonts w:hint="eastAsia" w:ascii="仿宋_GB2312" w:hAnsi="仿宋" w:eastAsia="仿宋_GB2312" w:cs="宋体"/>
          <w:sz w:val="32"/>
          <w:szCs w:val="32"/>
        </w:rPr>
        <w:t>实施前期、过程及效果，评价财政预算资金使用的效率及效益。本项目绩效评价的目的和达到的效果</w:t>
      </w:r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是</w:t>
      </w:r>
      <w:r>
        <w:rPr>
          <w:rFonts w:hint="eastAsia" w:ascii="仿宋_GB2312" w:hAnsi="仿宋" w:eastAsia="仿宋_GB2312" w:cs="宋体"/>
          <w:sz w:val="32"/>
          <w:szCs w:val="32"/>
        </w:rPr>
        <w:t>发挥畜牧业产业助力脱贫攻坚作用，督促35个肉羊良繁中心“四良一规范”综合配套应用。</w:t>
      </w:r>
    </w:p>
    <w:p>
      <w:pPr>
        <w:pStyle w:val="23"/>
        <w:numPr>
          <w:ilvl w:val="0"/>
          <w:numId w:val="3"/>
        </w:numPr>
        <w:ind w:left="0" w:firstLine="643" w:firstLineChars="200"/>
      </w:pPr>
      <w:r>
        <w:rPr>
          <w:rFonts w:hint="eastAsia"/>
        </w:rPr>
        <w:t>本次绩效评价的对象及范围</w:t>
      </w:r>
      <w:bookmarkStart w:id="5" w:name="_Toc26401554"/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ascii="仿宋_GB2312" w:hAnsi="仿宋" w:eastAsia="仿宋_GB2312" w:cs="宋体"/>
          <w:sz w:val="32"/>
          <w:szCs w:val="32"/>
        </w:rPr>
        <w:t>本次评价对象为</w:t>
      </w:r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肉羊良繁中心技术指导服务项目</w:t>
      </w:r>
      <w:r>
        <w:rPr>
          <w:rFonts w:ascii="仿宋_GB2312" w:hAnsi="仿宋" w:eastAsia="仿宋_GB2312" w:cs="宋体"/>
          <w:sz w:val="32"/>
          <w:szCs w:val="32"/>
        </w:rPr>
        <w:t>资金，评价范围包括专项资</w:t>
      </w:r>
      <w:r>
        <w:rPr>
          <w:rFonts w:hint="eastAsia" w:ascii="仿宋_GB2312" w:hAnsi="仿宋" w:eastAsia="仿宋_GB2312" w:cs="宋体"/>
          <w:sz w:val="32"/>
          <w:szCs w:val="32"/>
        </w:rPr>
        <w:t>金的安排、组织及使用效益。</w:t>
      </w:r>
    </w:p>
    <w:p>
      <w:pPr>
        <w:pStyle w:val="23"/>
        <w:numPr>
          <w:ilvl w:val="0"/>
          <w:numId w:val="3"/>
        </w:numPr>
        <w:ind w:left="0" w:firstLine="643" w:firstLineChars="200"/>
      </w:pPr>
      <w:r>
        <w:rPr>
          <w:rFonts w:hint="eastAsia"/>
        </w:rPr>
        <w:t>绩效评价原则</w:t>
      </w:r>
      <w:bookmarkEnd w:id="5"/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本次绩效评价遵循的原则包括：</w:t>
      </w:r>
    </w:p>
    <w:p>
      <w:pPr>
        <w:pStyle w:val="23"/>
        <w:keepNext w:val="0"/>
        <w:keepLines w:val="0"/>
        <w:numPr>
          <w:ilvl w:val="1"/>
          <w:numId w:val="4"/>
        </w:numPr>
        <w:ind w:left="0" w:firstLine="640" w:firstLineChars="200"/>
        <w:rPr>
          <w:rFonts w:hAnsi="仿宋" w:cs="宋体"/>
          <w:b w:val="0"/>
        </w:rPr>
      </w:pPr>
      <w:r>
        <w:rPr>
          <w:rFonts w:hint="eastAsia" w:hAnsi="仿宋" w:cs="宋体"/>
          <w:b w:val="0"/>
        </w:rPr>
        <w:t>科学公正。绩效评价应当运用科学合理的方法，按照规范的程序，对项目绩效进行客观、公正的反映。</w:t>
      </w:r>
    </w:p>
    <w:p>
      <w:pPr>
        <w:pStyle w:val="23"/>
        <w:keepNext w:val="0"/>
        <w:keepLines w:val="0"/>
        <w:numPr>
          <w:ilvl w:val="1"/>
          <w:numId w:val="4"/>
        </w:numPr>
        <w:ind w:left="0" w:firstLine="640" w:firstLineChars="200"/>
        <w:rPr>
          <w:rFonts w:hAnsi="仿宋" w:cs="宋体"/>
          <w:b w:val="0"/>
        </w:rPr>
      </w:pPr>
      <w:r>
        <w:rPr>
          <w:rFonts w:hint="eastAsia" w:hAnsi="仿宋" w:cs="宋体"/>
          <w:b w:val="0"/>
        </w:rPr>
        <w:t>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</w:p>
    <w:p>
      <w:pPr>
        <w:pStyle w:val="23"/>
        <w:keepNext w:val="0"/>
        <w:keepLines w:val="0"/>
        <w:numPr>
          <w:ilvl w:val="1"/>
          <w:numId w:val="4"/>
        </w:numPr>
        <w:ind w:left="0" w:firstLine="640" w:firstLineChars="200"/>
        <w:rPr>
          <w:rFonts w:hAnsi="仿宋" w:cs="宋体"/>
          <w:b w:val="0"/>
        </w:rPr>
      </w:pPr>
      <w:r>
        <w:rPr>
          <w:rFonts w:hint="eastAsia" w:hAnsi="仿宋" w:cs="宋体"/>
          <w:b w:val="0"/>
        </w:rPr>
        <w:t>激励约束。绩效评价结果应与预算安排、政策调整、改进管理实质性挂钩，体现奖优罚劣和激励相容导向，有效要安排、低效要压减、无效要问责。</w:t>
      </w:r>
    </w:p>
    <w:p>
      <w:pPr>
        <w:pStyle w:val="23"/>
        <w:keepNext w:val="0"/>
        <w:keepLines w:val="0"/>
        <w:numPr>
          <w:ilvl w:val="1"/>
          <w:numId w:val="4"/>
        </w:numPr>
        <w:ind w:left="0" w:firstLine="640" w:firstLineChars="200"/>
        <w:rPr>
          <w:b w:val="0"/>
        </w:rPr>
      </w:pPr>
      <w:r>
        <w:rPr>
          <w:rFonts w:hint="eastAsia" w:hAnsi="仿宋" w:cs="宋体"/>
          <w:b w:val="0"/>
        </w:rPr>
        <w:t>公开透明。绩效评价结果应依法依规公开，并自觉接受社会监督。</w:t>
      </w:r>
    </w:p>
    <w:p>
      <w:pPr>
        <w:pStyle w:val="23"/>
        <w:numPr>
          <w:ilvl w:val="0"/>
          <w:numId w:val="3"/>
        </w:numPr>
        <w:ind w:left="0" w:firstLine="643" w:firstLineChars="200"/>
      </w:pPr>
      <w:r>
        <w:rPr>
          <w:rFonts w:hint="eastAsia"/>
        </w:rPr>
        <w:t>本项目绩效评价体系</w:t>
      </w:r>
    </w:p>
    <w:p>
      <w:pPr>
        <w:pStyle w:val="23"/>
        <w:numPr>
          <w:ilvl w:val="0"/>
          <w:numId w:val="0"/>
        </w:numPr>
        <w:ind w:firstLine="640" w:firstLineChars="200"/>
        <w:rPr>
          <w:rFonts w:hint="eastAsia"/>
          <w:b w:val="0"/>
        </w:rPr>
      </w:pPr>
      <w:r>
        <w:rPr>
          <w:rFonts w:hint="eastAsia"/>
          <w:b w:val="0"/>
        </w:rPr>
        <w:t>本项目绩效评价体系为根据财预﹝2020﹞10号共性指标及个性化指标设置，详见附件4。</w:t>
      </w:r>
    </w:p>
    <w:p>
      <w:pPr>
        <w:pStyle w:val="23"/>
        <w:keepNext w:val="0"/>
        <w:keepLines w:val="0"/>
        <w:numPr>
          <w:ilvl w:val="0"/>
          <w:numId w:val="3"/>
        </w:numPr>
        <w:ind w:left="0" w:firstLine="643" w:firstLineChars="200"/>
      </w:pPr>
      <w:bookmarkStart w:id="6" w:name="_Toc26401555"/>
      <w:r>
        <w:rPr>
          <w:rFonts w:hint="eastAsia"/>
        </w:rPr>
        <w:t>绩效评价方法</w:t>
      </w:r>
      <w:bookmarkEnd w:id="6"/>
    </w:p>
    <w:p>
      <w:pPr>
        <w:spacing w:before="156" w:beforeLines="50" w:line="6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本次绩效评价方法的选用简便有效的原则采用综合分析法。</w:t>
      </w:r>
    </w:p>
    <w:p>
      <w:pPr>
        <w:pStyle w:val="23"/>
        <w:keepNext w:val="0"/>
        <w:keepLines w:val="0"/>
        <w:numPr>
          <w:ilvl w:val="0"/>
          <w:numId w:val="3"/>
        </w:numPr>
        <w:ind w:left="0" w:firstLine="643" w:firstLineChars="200"/>
      </w:pPr>
      <w:r>
        <w:rPr>
          <w:rFonts w:hint="eastAsia"/>
        </w:rPr>
        <w:t>评价标准</w:t>
      </w:r>
    </w:p>
    <w:p>
      <w:pPr>
        <w:pStyle w:val="23"/>
        <w:keepNext w:val="0"/>
        <w:keepLines w:val="0"/>
        <w:numPr>
          <w:ilvl w:val="0"/>
          <w:numId w:val="0"/>
        </w:numPr>
        <w:rPr>
          <w:rFonts w:hint="eastAsia" w:ascii="仿宋_GB2312" w:hAnsi="仿宋" w:eastAsia="仿宋_GB2312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宋体"/>
          <w:kern w:val="2"/>
          <w:sz w:val="32"/>
          <w:szCs w:val="32"/>
          <w:lang w:val="en-US" w:eastAsia="zh-CN" w:bidi="ar-SA"/>
        </w:rPr>
        <w:t xml:space="preserve">  </w:t>
      </w:r>
      <w:r>
        <w:rPr>
          <w:rFonts w:hint="eastAsia" w:ascii="仿宋_GB2312" w:hAnsi="仿宋" w:eastAsia="仿宋_GB2312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项目评价标准采用计划标准。</w:t>
      </w:r>
    </w:p>
    <w:p>
      <w:pPr>
        <w:pStyle w:val="23"/>
        <w:keepNext w:val="0"/>
        <w:keepLines w:val="0"/>
        <w:numPr>
          <w:ilvl w:val="0"/>
          <w:numId w:val="3"/>
        </w:numPr>
        <w:ind w:left="0" w:firstLine="643" w:firstLineChars="200"/>
      </w:pPr>
      <w:r>
        <w:rPr>
          <w:rFonts w:hint="eastAsia"/>
        </w:rPr>
        <w:t>绩效评价工作过程</w:t>
      </w:r>
    </w:p>
    <w:p>
      <w:pPr>
        <w:pStyle w:val="23"/>
        <w:keepNext w:val="0"/>
        <w:keepLines w:val="0"/>
        <w:numPr>
          <w:ilvl w:val="0"/>
          <w:numId w:val="0"/>
        </w:numPr>
        <w:ind w:firstLine="640" w:firstLineChars="200"/>
        <w:outlineLvl w:val="9"/>
        <w:rPr>
          <w:b w:val="0"/>
          <w:bCs w:val="0"/>
        </w:rPr>
      </w:pPr>
      <w:r>
        <w:rPr>
          <w:rFonts w:hint="eastAsia"/>
          <w:b w:val="0"/>
          <w:bCs w:val="0"/>
        </w:rPr>
        <w:t>本次评价成立了评价</w:t>
      </w:r>
      <w:r>
        <w:rPr>
          <w:rFonts w:hint="eastAsia"/>
          <w:b w:val="0"/>
          <w:bCs w:val="0"/>
          <w:lang w:eastAsia="zh-CN"/>
        </w:rPr>
        <w:t>小组</w:t>
      </w:r>
      <w:r>
        <w:rPr>
          <w:rFonts w:hint="eastAsia"/>
          <w:b w:val="0"/>
          <w:bCs w:val="0"/>
        </w:rPr>
        <w:t>，成员如下：</w:t>
      </w:r>
    </w:p>
    <w:tbl>
      <w:tblPr>
        <w:tblStyle w:val="15"/>
        <w:tblW w:w="829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评价人</w:t>
            </w:r>
          </w:p>
        </w:tc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职责</w:t>
            </w:r>
          </w:p>
        </w:tc>
        <w:tc>
          <w:tcPr>
            <w:tcW w:w="2766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lang w:eastAsia="zh-CN"/>
              </w:rPr>
              <w:t>孙利萍</w:t>
            </w:r>
          </w:p>
        </w:tc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评价组组长</w:t>
            </w:r>
          </w:p>
        </w:tc>
        <w:tc>
          <w:tcPr>
            <w:tcW w:w="2766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rFonts w:hint="eastAsia" w:eastAsia="仿宋_GB2312"/>
                <w:b w:val="0"/>
                <w:bCs w:val="0"/>
                <w:lang w:eastAsia="zh-CN"/>
              </w:rPr>
            </w:pPr>
            <w:r>
              <w:rPr>
                <w:rFonts w:hint="eastAsia"/>
                <w:b w:val="0"/>
                <w:bCs w:val="0"/>
                <w:lang w:eastAsia="zh-CN"/>
              </w:rPr>
              <w:t>高级畜牧师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rFonts w:hint="eastAsia" w:eastAsia="仿宋_GB2312"/>
                <w:b w:val="0"/>
                <w:bCs w:val="0"/>
                <w:lang w:eastAsia="zh-CN"/>
              </w:rPr>
            </w:pPr>
            <w:r>
              <w:rPr>
                <w:rFonts w:hint="eastAsia"/>
                <w:b w:val="0"/>
                <w:bCs w:val="0"/>
                <w:lang w:eastAsia="zh-CN"/>
              </w:rPr>
              <w:t>肖国亮</w:t>
            </w:r>
          </w:p>
        </w:tc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评价组成员</w:t>
            </w:r>
          </w:p>
        </w:tc>
        <w:tc>
          <w:tcPr>
            <w:tcW w:w="2766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lang w:eastAsia="zh-CN"/>
              </w:rPr>
              <w:t>高级畜牧师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rFonts w:hint="eastAsia" w:eastAsia="仿宋_GB2312"/>
                <w:b w:val="0"/>
                <w:bCs w:val="0"/>
                <w:lang w:eastAsia="zh-CN"/>
              </w:rPr>
            </w:pPr>
            <w:r>
              <w:rPr>
                <w:rFonts w:hint="eastAsia"/>
                <w:b w:val="0"/>
                <w:bCs w:val="0"/>
                <w:lang w:eastAsia="zh-CN"/>
              </w:rPr>
              <w:t>司衣提</w:t>
            </w:r>
          </w:p>
        </w:tc>
        <w:tc>
          <w:tcPr>
            <w:tcW w:w="2765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评价组成员</w:t>
            </w:r>
          </w:p>
        </w:tc>
        <w:tc>
          <w:tcPr>
            <w:tcW w:w="2766" w:type="dxa"/>
            <w:vAlign w:val="center"/>
          </w:tcPr>
          <w:p>
            <w:pPr>
              <w:pStyle w:val="23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lang w:eastAsia="zh-CN"/>
              </w:rPr>
              <w:t>高级畜牧师</w:t>
            </w:r>
          </w:p>
        </w:tc>
      </w:tr>
    </w:tbl>
    <w:p>
      <w:pPr>
        <w:pStyle w:val="23"/>
        <w:keepNext w:val="0"/>
        <w:keepLines w:val="0"/>
        <w:numPr>
          <w:ilvl w:val="0"/>
          <w:numId w:val="0"/>
        </w:numPr>
        <w:ind w:firstLine="640" w:firstLineChars="200"/>
        <w:outlineLvl w:val="9"/>
        <w:rPr>
          <w:b w:val="0"/>
          <w:bCs w:val="0"/>
        </w:rPr>
      </w:pPr>
      <w:r>
        <w:rPr>
          <w:rFonts w:hint="eastAsia"/>
          <w:b w:val="0"/>
          <w:bCs w:val="0"/>
        </w:rPr>
        <w:t>本次评价设计了评价方案、评价指标体系，通过资料分析、调研、访谈满意度调查等方式形成评价结论，在与项目单位沟通后确定评价意见，并出具评价报告。　</w:t>
      </w:r>
    </w:p>
    <w:p>
      <w:pPr>
        <w:pStyle w:val="21"/>
        <w:numPr>
          <w:ilvl w:val="0"/>
          <w:numId w:val="2"/>
        </w:numPr>
        <w:ind w:firstLineChars="0"/>
        <w:rPr>
          <w:color w:val="FF0000"/>
        </w:rPr>
      </w:pPr>
      <w:bookmarkStart w:id="7" w:name="_Toc26401558"/>
      <w:r>
        <w:rPr>
          <w:rFonts w:hint="eastAsia" w:ascii="黑体" w:hAnsi="黑体"/>
        </w:rPr>
        <w:t>综合评价情况及评价结论</w:t>
      </w:r>
    </w:p>
    <w:p>
      <w:pPr>
        <w:pStyle w:val="21"/>
        <w:ind w:firstLine="640"/>
        <w:rPr>
          <w:rFonts w:ascii="仿宋_GB2312" w:eastAsia="仿宋_GB2312" w:hAnsiTheme="majorHAnsi"/>
          <w:b w:val="0"/>
          <w:bCs w:val="0"/>
          <w:kern w:val="2"/>
        </w:rPr>
      </w:pPr>
      <w:r>
        <w:rPr>
          <w:rFonts w:hint="eastAsia" w:ascii="仿宋_GB2312" w:eastAsia="仿宋_GB2312" w:hAnsiTheme="majorHAnsi"/>
          <w:b w:val="0"/>
          <w:bCs w:val="0"/>
          <w:kern w:val="2"/>
        </w:rPr>
        <w:t>经评价组通过实地调研、资料分析等方式，采用综合分析法对项目的决策、管理、绩效进行的综合评价分析，项目得分为</w:t>
      </w:r>
      <w:r>
        <w:rPr>
          <w:rFonts w:hint="eastAsia" w:ascii="仿宋_GB2312" w:eastAsia="仿宋_GB2312" w:hAnsiTheme="majorHAnsi"/>
          <w:b w:val="0"/>
          <w:bCs w:val="0"/>
          <w:kern w:val="2"/>
          <w:lang w:val="en-US" w:eastAsia="zh-CN"/>
        </w:rPr>
        <w:t>100</w:t>
      </w:r>
      <w:r>
        <w:rPr>
          <w:rFonts w:hint="eastAsia" w:ascii="仿宋_GB2312" w:eastAsia="仿宋_GB2312" w:hAnsiTheme="majorHAnsi"/>
          <w:b w:val="0"/>
          <w:bCs w:val="0"/>
          <w:kern w:val="2"/>
        </w:rPr>
        <w:t>分，评价结果为优，详见附件6。</w:t>
      </w:r>
    </w:p>
    <w:p>
      <w:pPr>
        <w:pStyle w:val="21"/>
        <w:numPr>
          <w:ilvl w:val="0"/>
          <w:numId w:val="2"/>
        </w:numPr>
        <w:ind w:firstLineChars="0"/>
      </w:pPr>
      <w:r>
        <w:rPr>
          <w:rFonts w:hint="eastAsia"/>
        </w:rPr>
        <w:t>绩效评价指标分析</w:t>
      </w:r>
      <w:bookmarkEnd w:id="7"/>
    </w:p>
    <w:p>
      <w:pPr>
        <w:pStyle w:val="17"/>
        <w:numPr>
          <w:ilvl w:val="0"/>
          <w:numId w:val="5"/>
        </w:numPr>
        <w:spacing w:before="156"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</w:rPr>
        <w:t>项目的决策情况</w:t>
      </w:r>
    </w:p>
    <w:p>
      <w:pPr>
        <w:pStyle w:val="26"/>
        <w:ind w:firstLine="640"/>
        <w:rPr>
          <w:rFonts w:ascii="仿宋_GB2312" w:hAnsi="仿宋" w:cs="宋体"/>
          <w:sz w:val="32"/>
          <w:szCs w:val="32"/>
        </w:rPr>
      </w:pPr>
      <w:r>
        <w:rPr>
          <w:rFonts w:hint="eastAsia" w:ascii="仿宋_GB2312" w:hAnsi="仿宋" w:cs="宋体"/>
          <w:sz w:val="32"/>
          <w:szCs w:val="32"/>
        </w:rPr>
        <w:t>本项目的立项符合相关法规政策及部门职责，依据充分；项目按照规定的程序申请设立；审批文件、材料符合相关要求；项目前期经过必要的可行性研究、专家论证、绩效评估、集体决策。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根据相关文件要求设置了绩效目标，项目绩效目标基本合理，与实际工作内容相关；项目预期产出效益和效果符合正常的业绩水平；与预算确定的项目投资额或资金量相匹配。将项目绩效目标细化分解为具体的绩效指标；通过清晰、可衡量的指标值予以体现；与项目目标任务数或计划数相对应。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项目在资金投入方面，预算编制经过科学论证、有明确标准，资金额度与年度目标相适应，用以反映和考核项目预算编制的科学性、合理性情况。项目预算资金分配有测算依据，与单位实际</w:t>
      </w:r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开展工作</w:t>
      </w:r>
      <w:r>
        <w:rPr>
          <w:rFonts w:hint="eastAsia" w:ascii="仿宋_GB2312" w:hAnsi="仿宋" w:eastAsia="仿宋_GB2312" w:cs="宋体"/>
          <w:sz w:val="32"/>
          <w:szCs w:val="32"/>
        </w:rPr>
        <w:t>相适应。</w:t>
      </w:r>
    </w:p>
    <w:p>
      <w:pPr>
        <w:pStyle w:val="17"/>
        <w:numPr>
          <w:ilvl w:val="0"/>
          <w:numId w:val="5"/>
        </w:numPr>
        <w:spacing w:before="156"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</w:rPr>
        <w:t>项目的过程情况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在资金管理方面，项目资金足额及时到位，</w:t>
      </w:r>
      <w:r>
        <w:rPr>
          <w:rFonts w:hint="eastAsia" w:ascii="仿宋_GB2312" w:eastAsia="仿宋_GB2312"/>
          <w:sz w:val="32"/>
          <w:szCs w:val="32"/>
          <w:lang w:eastAsia="zh-CN"/>
        </w:rPr>
        <w:t>项目资金</w:t>
      </w:r>
      <w:r>
        <w:rPr>
          <w:rFonts w:hint="eastAsia" w:ascii="仿宋_GB2312" w:eastAsia="仿宋_GB2312"/>
          <w:sz w:val="32"/>
          <w:szCs w:val="32"/>
        </w:rPr>
        <w:t>及时支付，资金使用符合国家法规和财务管理制度；资金拨付有完整的审批程序和手续，符合项目预算批复或合同规定的用途；</w:t>
      </w:r>
      <w:r>
        <w:rPr>
          <w:rFonts w:hint="eastAsia" w:ascii="仿宋_GB2312" w:eastAsia="仿宋_GB2312"/>
          <w:sz w:val="32"/>
          <w:szCs w:val="32"/>
          <w:lang w:eastAsia="zh-CN"/>
        </w:rPr>
        <w:t>不</w:t>
      </w:r>
      <w:r>
        <w:rPr>
          <w:rFonts w:hint="eastAsia" w:ascii="仿宋_GB2312" w:eastAsia="仿宋_GB2312"/>
          <w:sz w:val="32"/>
          <w:szCs w:val="32"/>
        </w:rPr>
        <w:t>存在截留、挤占、挪用、虚列支出等情况。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在项目组织实施方面，</w:t>
      </w:r>
      <w:r>
        <w:rPr>
          <w:rFonts w:hint="eastAsia" w:ascii="仿宋_GB2312" w:eastAsia="仿宋_GB2312"/>
          <w:sz w:val="32"/>
          <w:szCs w:val="32"/>
          <w:lang w:eastAsia="zh-CN"/>
        </w:rPr>
        <w:t>我</w:t>
      </w:r>
      <w:r>
        <w:rPr>
          <w:rFonts w:hint="eastAsia" w:ascii="仿宋_GB2312" w:eastAsia="仿宋_GB2312"/>
          <w:sz w:val="32"/>
          <w:szCs w:val="32"/>
        </w:rPr>
        <w:t>单位制定</w:t>
      </w:r>
      <w:r>
        <w:rPr>
          <w:rFonts w:hint="eastAsia" w:ascii="仿宋_GB2312" w:eastAsia="仿宋_GB2312"/>
          <w:sz w:val="32"/>
          <w:szCs w:val="32"/>
          <w:lang w:eastAsia="zh-CN"/>
        </w:rPr>
        <w:t>项目相关</w:t>
      </w:r>
      <w:r>
        <w:rPr>
          <w:rFonts w:hint="eastAsia" w:ascii="仿宋_GB2312" w:eastAsia="仿宋_GB2312"/>
          <w:sz w:val="32"/>
          <w:szCs w:val="32"/>
        </w:rPr>
        <w:t>的财务和业务管理制度，财务和业务管理制度合法、合规、完整。项目实施遵守相关法律法规和相关管理规定。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hint="eastAsia" w:ascii="仿宋_GB2312" w:eastAsia="仿宋_GB2312"/>
          <w:sz w:val="32"/>
          <w:szCs w:val="32"/>
          <w:lang w:eastAsia="zh-CN"/>
        </w:rPr>
        <w:t>不存在</w:t>
      </w:r>
      <w:r>
        <w:rPr>
          <w:rFonts w:hint="eastAsia" w:ascii="仿宋_GB2312" w:eastAsia="仿宋_GB2312"/>
          <w:sz w:val="32"/>
          <w:szCs w:val="32"/>
        </w:rPr>
        <w:t>调整，</w:t>
      </w:r>
      <w:r>
        <w:rPr>
          <w:rFonts w:hint="eastAsia" w:ascii="仿宋_GB2312" w:eastAsia="仿宋_GB2312"/>
          <w:sz w:val="32"/>
          <w:szCs w:val="32"/>
          <w:lang w:eastAsia="zh-CN"/>
        </w:rPr>
        <w:t>项目档案</w:t>
      </w:r>
      <w:r>
        <w:rPr>
          <w:rFonts w:hint="eastAsia" w:ascii="仿宋_GB2312" w:eastAsia="仿宋_GB2312"/>
          <w:sz w:val="32"/>
          <w:szCs w:val="32"/>
        </w:rPr>
        <w:t>资料齐全并及时归档，项目实施的人员条件、场地设备、信息支撑等落实到位。</w:t>
      </w:r>
    </w:p>
    <w:p>
      <w:pPr>
        <w:pStyle w:val="17"/>
        <w:numPr>
          <w:ilvl w:val="0"/>
          <w:numId w:val="5"/>
        </w:numPr>
        <w:spacing w:before="156"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</w:rPr>
        <w:t>项目产出情况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1、</w:t>
      </w:r>
      <w:r>
        <w:rPr>
          <w:rFonts w:hint="eastAsia" w:ascii="仿宋_GB2312" w:eastAsia="仿宋_GB2312"/>
          <w:sz w:val="32"/>
          <w:szCs w:val="32"/>
        </w:rPr>
        <w:t>项目产出数量为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每个肉羊良繁中心服务天次，预期指标值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天/次，实际完成值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天/次，指标达到预期目标；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  <w:highlight w:val="yellow"/>
        </w:rPr>
      </w:pPr>
      <w:r>
        <w:rPr>
          <w:rFonts w:hint="eastAsia" w:ascii="仿宋_GB2312" w:eastAsia="仿宋_GB2312"/>
          <w:sz w:val="32"/>
          <w:szCs w:val="32"/>
        </w:rPr>
        <w:t>指导服务肉羊良繁中</w:t>
      </w:r>
      <w:r>
        <w:rPr>
          <w:rFonts w:hint="eastAsia" w:ascii="仿宋_GB2312" w:eastAsia="仿宋_GB2312"/>
          <w:sz w:val="32"/>
          <w:szCs w:val="32"/>
          <w:highlight w:val="yellow"/>
        </w:rPr>
        <w:t>心数量（个），预期指标值</w:t>
      </w:r>
      <w:r>
        <w:rPr>
          <w:rFonts w:hint="eastAsia" w:ascii="仿宋_GB2312" w:eastAsia="仿宋_GB2312"/>
          <w:sz w:val="32"/>
          <w:szCs w:val="32"/>
          <w:highlight w:val="yellow"/>
          <w:lang w:val="en-US" w:eastAsia="zh-CN"/>
        </w:rPr>
        <w:t>35个</w:t>
      </w:r>
      <w:r>
        <w:rPr>
          <w:rFonts w:hint="eastAsia" w:ascii="仿宋_GB2312" w:eastAsia="仿宋_GB2312"/>
          <w:sz w:val="32"/>
          <w:szCs w:val="32"/>
          <w:highlight w:val="yellow"/>
        </w:rPr>
        <w:t>, 实际完成值</w:t>
      </w:r>
      <w:r>
        <w:rPr>
          <w:rFonts w:hint="eastAsia" w:ascii="仿宋_GB2312" w:eastAsia="仿宋_GB2312"/>
          <w:sz w:val="32"/>
          <w:szCs w:val="32"/>
          <w:highlight w:val="yellow"/>
          <w:lang w:val="en-US" w:eastAsia="zh-CN"/>
        </w:rPr>
        <w:t>35个</w:t>
      </w:r>
      <w:r>
        <w:rPr>
          <w:rFonts w:hint="eastAsia" w:ascii="仿宋_GB2312" w:eastAsia="仿宋_GB2312"/>
          <w:sz w:val="32"/>
          <w:szCs w:val="32"/>
          <w:highlight w:val="yellow"/>
        </w:rPr>
        <w:t>，指标达到预期目标。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数量指标共计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  <w:lang w:eastAsia="zh-CN"/>
        </w:rPr>
        <w:t>个，完成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  <w:lang w:eastAsia="zh-CN"/>
        </w:rPr>
        <w:t>个，达到预期目标。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2、</w:t>
      </w:r>
      <w:r>
        <w:rPr>
          <w:rFonts w:hint="eastAsia" w:ascii="仿宋_GB2312" w:eastAsia="仿宋_GB2312"/>
          <w:sz w:val="32"/>
          <w:szCs w:val="32"/>
        </w:rPr>
        <w:t>项目产出质量为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良繁中心服务指导考核合格率（%），预期指标值为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</w:t>
      </w:r>
      <w:r>
        <w:rPr>
          <w:rFonts w:hint="eastAsia" w:ascii="仿宋_GB2312" w:eastAsia="仿宋_GB2312"/>
          <w:sz w:val="32"/>
          <w:szCs w:val="32"/>
        </w:rPr>
        <w:t>，指标达到预期目标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项目实施推广的技术合格率（%），</w:t>
      </w:r>
      <w:r>
        <w:rPr>
          <w:rFonts w:hint="eastAsia" w:ascii="仿宋_GB2312" w:eastAsia="仿宋_GB2312"/>
          <w:sz w:val="32"/>
          <w:szCs w:val="32"/>
        </w:rPr>
        <w:t>预期指标值为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</w:t>
      </w:r>
      <w:r>
        <w:rPr>
          <w:rFonts w:hint="eastAsia" w:ascii="仿宋_GB2312" w:eastAsia="仿宋_GB2312"/>
          <w:sz w:val="32"/>
          <w:szCs w:val="32"/>
        </w:rPr>
        <w:t>，指标达到预期目标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项目指导服务完成率（%），</w:t>
      </w:r>
      <w:r>
        <w:rPr>
          <w:rFonts w:hint="eastAsia" w:ascii="仿宋_GB2312" w:eastAsia="仿宋_GB2312"/>
          <w:sz w:val="32"/>
          <w:szCs w:val="32"/>
        </w:rPr>
        <w:t>预期指标值为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</w:t>
      </w:r>
      <w:r>
        <w:rPr>
          <w:rFonts w:hint="eastAsia" w:ascii="仿宋_GB2312" w:eastAsia="仿宋_GB2312"/>
          <w:sz w:val="32"/>
          <w:szCs w:val="32"/>
        </w:rPr>
        <w:t>，指标达到预期目标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before="156"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质量指标共计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  <w:lang w:eastAsia="zh-CN"/>
        </w:rPr>
        <w:t>个，完成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  <w:lang w:eastAsia="zh-CN"/>
        </w:rPr>
        <w:t>个，达到预期目标。</w:t>
      </w:r>
    </w:p>
    <w:p>
      <w:pPr>
        <w:numPr>
          <w:ilvl w:val="0"/>
          <w:numId w:val="6"/>
        </w:num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项目产出时效为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</w:p>
    <w:p>
      <w:pPr>
        <w:numPr>
          <w:ilvl w:val="0"/>
          <w:numId w:val="0"/>
        </w:numPr>
        <w:spacing w:before="156" w:beforeLines="50"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项目开展的时效时间（年），预期指标值为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1年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1年</w:t>
      </w:r>
      <w:r>
        <w:rPr>
          <w:rFonts w:hint="eastAsia" w:ascii="仿宋_GB2312" w:eastAsia="仿宋_GB2312"/>
          <w:sz w:val="32"/>
          <w:szCs w:val="32"/>
        </w:rPr>
        <w:t>，达到预期目标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before="156"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时效指标共计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  <w:lang w:eastAsia="zh-CN"/>
        </w:rPr>
        <w:t>个，完成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  <w:lang w:eastAsia="zh-CN"/>
        </w:rPr>
        <w:t>个，达到预期目标。</w:t>
      </w:r>
    </w:p>
    <w:p>
      <w:pPr>
        <w:numPr>
          <w:ilvl w:val="0"/>
          <w:numId w:val="6"/>
        </w:numPr>
        <w:spacing w:before="156" w:beforeLines="50" w:line="600" w:lineRule="exact"/>
        <w:ind w:left="0" w:leftChars="0" w:firstLine="660" w:firstLineChars="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项目产出成本指标为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</w:p>
    <w:p>
      <w:pPr>
        <w:numPr>
          <w:ilvl w:val="0"/>
          <w:numId w:val="0"/>
        </w:numPr>
        <w:spacing w:before="156" w:beforeLines="50"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行政运行成本（万元），预期指标值为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5万元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5万元</w:t>
      </w:r>
      <w:r>
        <w:rPr>
          <w:rFonts w:hint="eastAsia" w:ascii="仿宋_GB2312" w:eastAsia="仿宋_GB2312"/>
          <w:sz w:val="32"/>
          <w:szCs w:val="32"/>
        </w:rPr>
        <w:t>，达到预期目标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pStyle w:val="17"/>
        <w:numPr>
          <w:ilvl w:val="0"/>
          <w:numId w:val="5"/>
        </w:numPr>
        <w:spacing w:before="156"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</w:rPr>
        <w:t>项目效益情况</w:t>
      </w:r>
    </w:p>
    <w:p>
      <w:pPr>
        <w:spacing w:before="156" w:beforeLines="50"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" w:eastAsia="仿宋_GB2312" w:cs="宋体"/>
          <w:bCs/>
          <w:sz w:val="32"/>
          <w:szCs w:val="32"/>
          <w:lang w:val="en-US" w:eastAsia="zh-CN"/>
        </w:rPr>
        <w:t>1、</w:t>
      </w:r>
      <w:r>
        <w:rPr>
          <w:rFonts w:hint="eastAsia" w:ascii="仿宋_GB2312" w:hAnsi="仿宋" w:eastAsia="仿宋_GB2312" w:cs="宋体"/>
          <w:bCs/>
          <w:sz w:val="32"/>
          <w:szCs w:val="32"/>
        </w:rPr>
        <w:t>项目实施产生的经济效益</w:t>
      </w:r>
      <w:r>
        <w:rPr>
          <w:rFonts w:hint="eastAsia" w:ascii="仿宋_GB2312" w:eastAsia="仿宋_GB2312"/>
          <w:sz w:val="32"/>
          <w:szCs w:val="32"/>
        </w:rPr>
        <w:t>指标</w:t>
      </w:r>
    </w:p>
    <w:p>
      <w:pPr>
        <w:spacing w:before="156" w:beforeLines="50" w:line="600" w:lineRule="exact"/>
        <w:ind w:firstLine="640" w:firstLineChars="200"/>
        <w:rPr>
          <w:rFonts w:hint="eastAsia" w:ascii="仿宋_GB2312" w:hAnsi="仿宋" w:eastAsia="仿宋_GB2312" w:cs="宋体"/>
          <w:bCs/>
          <w:sz w:val="32"/>
          <w:szCs w:val="32"/>
          <w:lang w:eastAsia="zh-CN"/>
        </w:rPr>
      </w:pPr>
      <w:r>
        <w:rPr>
          <w:rFonts w:hint="eastAsia" w:ascii="仿宋_GB2312" w:hAnsi="仿宋" w:eastAsia="仿宋_GB2312" w:cs="宋体"/>
          <w:bCs/>
          <w:sz w:val="32"/>
          <w:szCs w:val="32"/>
          <w:lang w:eastAsia="zh-CN"/>
        </w:rPr>
        <w:t>无</w:t>
      </w:r>
    </w:p>
    <w:p>
      <w:pPr>
        <w:spacing w:before="156" w:beforeLines="50" w:line="600" w:lineRule="exact"/>
        <w:ind w:firstLine="640" w:firstLineChars="200"/>
        <w:rPr>
          <w:rFonts w:hint="eastAsia" w:ascii="仿宋_GB2312" w:hAnsi="仿宋" w:eastAsia="仿宋_GB2312" w:cs="宋体"/>
          <w:bCs/>
          <w:sz w:val="32"/>
          <w:szCs w:val="32"/>
          <w:lang w:eastAsia="zh-CN"/>
        </w:rPr>
      </w:pPr>
      <w:r>
        <w:rPr>
          <w:rFonts w:hint="eastAsia" w:ascii="仿宋_GB2312" w:hAnsi="仿宋" w:eastAsia="仿宋_GB2312" w:cs="宋体"/>
          <w:bCs/>
          <w:sz w:val="32"/>
          <w:szCs w:val="32"/>
          <w:lang w:val="en-US" w:eastAsia="zh-CN"/>
        </w:rPr>
        <w:t>2、</w:t>
      </w:r>
      <w:r>
        <w:rPr>
          <w:rFonts w:hint="eastAsia" w:ascii="仿宋_GB2312" w:hAnsi="仿宋" w:eastAsia="仿宋_GB2312" w:cs="宋体"/>
          <w:bCs/>
          <w:sz w:val="32"/>
          <w:szCs w:val="32"/>
        </w:rPr>
        <w:t>项目实施产生的社会效益</w:t>
      </w:r>
      <w:r>
        <w:rPr>
          <w:rFonts w:hint="eastAsia" w:ascii="仿宋_GB2312" w:eastAsia="仿宋_GB2312"/>
          <w:sz w:val="32"/>
          <w:szCs w:val="32"/>
        </w:rPr>
        <w:t>指标为提高肉羊场科学养殖水平，保障“四良一规范”技术有效实施，预期指标值为</w:t>
      </w:r>
      <w:r>
        <w:rPr>
          <w:rFonts w:hint="eastAsia" w:ascii="仿宋_GB2312" w:eastAsia="仿宋_GB2312"/>
          <w:sz w:val="32"/>
          <w:szCs w:val="32"/>
          <w:lang w:eastAsia="zh-CN"/>
        </w:rPr>
        <w:t>显著提高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</w:t>
      </w:r>
      <w:r>
        <w:rPr>
          <w:rFonts w:hint="eastAsia" w:ascii="仿宋_GB2312" w:hAnsi="仿宋" w:eastAsia="仿宋_GB2312" w:cs="宋体"/>
          <w:bCs/>
          <w:sz w:val="32"/>
          <w:szCs w:val="32"/>
        </w:rPr>
        <w:t>，达到了预期目标</w:t>
      </w:r>
      <w:r>
        <w:rPr>
          <w:rFonts w:hint="eastAsia" w:ascii="仿宋_GB2312" w:hAnsi="仿宋" w:eastAsia="仿宋_GB2312" w:cs="宋体"/>
          <w:bCs/>
          <w:sz w:val="32"/>
          <w:szCs w:val="32"/>
          <w:lang w:eastAsia="zh-CN"/>
        </w:rPr>
        <w:t>。</w:t>
      </w:r>
    </w:p>
    <w:p>
      <w:pPr>
        <w:spacing w:before="156" w:beforeLines="50"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" w:eastAsia="仿宋_GB2312" w:cs="宋体"/>
          <w:bCs/>
          <w:sz w:val="32"/>
          <w:szCs w:val="32"/>
          <w:lang w:val="en-US" w:eastAsia="zh-CN"/>
        </w:rPr>
        <w:t>3、</w:t>
      </w:r>
      <w:r>
        <w:rPr>
          <w:rFonts w:hint="eastAsia" w:ascii="仿宋_GB2312" w:hAnsi="仿宋" w:eastAsia="仿宋_GB2312" w:cs="宋体"/>
          <w:bCs/>
          <w:sz w:val="32"/>
          <w:szCs w:val="32"/>
        </w:rPr>
        <w:t>项目实施产生的生态效益</w:t>
      </w:r>
      <w:r>
        <w:rPr>
          <w:rFonts w:hint="eastAsia" w:ascii="仿宋_GB2312" w:eastAsia="仿宋_GB2312"/>
          <w:sz w:val="32"/>
          <w:szCs w:val="32"/>
        </w:rPr>
        <w:t>指标</w:t>
      </w:r>
    </w:p>
    <w:p>
      <w:pPr>
        <w:spacing w:before="156" w:beforeLines="50" w:line="600" w:lineRule="exact"/>
        <w:ind w:firstLine="640" w:firstLineChars="200"/>
        <w:rPr>
          <w:rFonts w:hint="eastAsia" w:ascii="仿宋_GB2312" w:hAnsi="仿宋" w:eastAsia="仿宋_GB2312" w:cs="宋体"/>
          <w:bCs/>
          <w:sz w:val="32"/>
          <w:szCs w:val="32"/>
          <w:lang w:eastAsia="zh-CN"/>
        </w:rPr>
      </w:pPr>
      <w:r>
        <w:rPr>
          <w:rFonts w:hint="eastAsia" w:ascii="仿宋_GB2312" w:hAnsi="仿宋" w:eastAsia="仿宋_GB2312" w:cs="宋体"/>
          <w:bCs/>
          <w:sz w:val="32"/>
          <w:szCs w:val="32"/>
          <w:lang w:eastAsia="zh-CN"/>
        </w:rPr>
        <w:t>无</w:t>
      </w:r>
    </w:p>
    <w:p>
      <w:pPr>
        <w:spacing w:before="156" w:beforeLines="50" w:line="600" w:lineRule="exact"/>
        <w:ind w:firstLine="640" w:firstLineChars="200"/>
        <w:rPr>
          <w:rFonts w:hint="eastAsia" w:ascii="仿宋_GB2312" w:hAnsi="仿宋" w:eastAsia="仿宋_GB2312" w:cs="宋体"/>
          <w:bCs/>
          <w:sz w:val="32"/>
          <w:szCs w:val="32"/>
          <w:lang w:eastAsia="zh-CN"/>
        </w:rPr>
      </w:pPr>
      <w:r>
        <w:rPr>
          <w:rFonts w:hint="eastAsia" w:ascii="仿宋_GB2312" w:hAnsi="仿宋" w:eastAsia="仿宋_GB2312" w:cs="宋体"/>
          <w:bCs/>
          <w:sz w:val="32"/>
          <w:szCs w:val="32"/>
          <w:lang w:val="en-US" w:eastAsia="zh-CN"/>
        </w:rPr>
        <w:t>4、</w:t>
      </w:r>
      <w:r>
        <w:rPr>
          <w:rFonts w:hint="eastAsia" w:ascii="仿宋_GB2312" w:hAnsi="仿宋" w:eastAsia="仿宋_GB2312" w:cs="宋体"/>
          <w:bCs/>
          <w:sz w:val="32"/>
          <w:szCs w:val="32"/>
        </w:rPr>
        <w:t>项目的可持续</w:t>
      </w:r>
      <w:r>
        <w:rPr>
          <w:rFonts w:hint="eastAsia" w:ascii="仿宋_GB2312" w:hAnsi="仿宋" w:eastAsia="仿宋_GB2312" w:cs="宋体"/>
          <w:bCs/>
          <w:sz w:val="32"/>
          <w:szCs w:val="32"/>
          <w:lang w:eastAsia="zh-CN"/>
        </w:rPr>
        <w:t>影响</w:t>
      </w:r>
      <w:r>
        <w:rPr>
          <w:rFonts w:hint="eastAsia" w:ascii="仿宋_GB2312" w:hAnsi="仿宋" w:eastAsia="仿宋_GB2312" w:cs="宋体"/>
          <w:bCs/>
          <w:sz w:val="32"/>
          <w:szCs w:val="32"/>
        </w:rPr>
        <w:t>效益</w:t>
      </w:r>
      <w:r>
        <w:rPr>
          <w:rFonts w:hint="eastAsia" w:ascii="仿宋_GB2312" w:eastAsia="仿宋_GB2312"/>
          <w:sz w:val="32"/>
          <w:szCs w:val="32"/>
        </w:rPr>
        <w:t>指标为推进肉羊产业发展，预期指标值为</w:t>
      </w:r>
      <w:r>
        <w:rPr>
          <w:rFonts w:hint="eastAsia" w:ascii="仿宋_GB2312" w:eastAsia="仿宋_GB2312"/>
          <w:sz w:val="32"/>
          <w:szCs w:val="32"/>
          <w:lang w:eastAsia="zh-CN"/>
        </w:rPr>
        <w:t>长期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</w:t>
      </w:r>
      <w:r>
        <w:rPr>
          <w:rFonts w:hint="eastAsia" w:ascii="仿宋_GB2312" w:hAnsi="仿宋" w:eastAsia="仿宋_GB2312" w:cs="宋体"/>
          <w:bCs/>
          <w:sz w:val="32"/>
          <w:szCs w:val="32"/>
        </w:rPr>
        <w:t>，达到了预期目标</w:t>
      </w:r>
      <w:r>
        <w:rPr>
          <w:rFonts w:hint="eastAsia" w:ascii="仿宋_GB2312" w:hAnsi="仿宋" w:eastAsia="仿宋_GB2312" w:cs="宋体"/>
          <w:bCs/>
          <w:sz w:val="32"/>
          <w:szCs w:val="32"/>
          <w:lang w:eastAsia="zh-CN"/>
        </w:rPr>
        <w:t>。</w:t>
      </w:r>
    </w:p>
    <w:p>
      <w:pPr>
        <w:pStyle w:val="17"/>
        <w:numPr>
          <w:ilvl w:val="0"/>
          <w:numId w:val="0"/>
        </w:numPr>
        <w:spacing w:before="156" w:beforeLines="50" w:line="600" w:lineRule="exact"/>
        <w:ind w:firstLine="643" w:firstLineChars="200"/>
        <w:rPr>
          <w:rFonts w:hint="eastAsia" w:ascii="仿宋_GB2312" w:hAnsi="仿宋" w:eastAsia="仿宋_GB2312" w:cs="宋体"/>
          <w:b/>
          <w:bCs/>
          <w:sz w:val="32"/>
          <w:szCs w:val="32"/>
          <w:lang w:eastAsia="zh-CN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lang w:eastAsia="zh-CN"/>
        </w:rPr>
        <w:t>（五）项目满意度情况</w:t>
      </w:r>
    </w:p>
    <w:p>
      <w:pPr>
        <w:spacing w:before="156" w:beforeLines="50"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调查肉羊良繁中心对服务的满意度，预期指标值为≥85%，经问询调查良繁中心，项目满意度为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85%，</w:t>
      </w:r>
      <w:r>
        <w:rPr>
          <w:rFonts w:hint="eastAsia" w:ascii="仿宋_GB2312" w:eastAsia="仿宋_GB2312"/>
          <w:sz w:val="32"/>
          <w:szCs w:val="32"/>
          <w:lang w:eastAsia="zh-CN"/>
        </w:rPr>
        <w:t>达到了预期目标。</w:t>
      </w:r>
    </w:p>
    <w:p>
      <w:pPr>
        <w:pStyle w:val="21"/>
        <w:numPr>
          <w:ilvl w:val="0"/>
          <w:numId w:val="2"/>
        </w:numPr>
        <w:ind w:firstLineChars="0"/>
      </w:pPr>
      <w:r>
        <w:rPr>
          <w:rFonts w:hint="eastAsia" w:ascii="黑体" w:hAnsi="黑体"/>
        </w:rPr>
        <w:t>主要经验及做法、存在的问题及原因分析</w:t>
      </w:r>
    </w:p>
    <w:p>
      <w:pPr>
        <w:pStyle w:val="23"/>
        <w:numPr>
          <w:ilvl w:val="0"/>
          <w:numId w:val="7"/>
        </w:numPr>
        <w:ind w:left="0" w:firstLine="643" w:firstLineChars="200"/>
      </w:pPr>
      <w:r>
        <w:rPr>
          <w:rFonts w:hint="eastAsia"/>
        </w:rPr>
        <w:t>主要经验及做法</w:t>
      </w:r>
    </w:p>
    <w:p>
      <w:pPr>
        <w:pStyle w:val="23"/>
        <w:numPr>
          <w:ilvl w:val="0"/>
          <w:numId w:val="0"/>
        </w:numPr>
        <w:ind w:firstLine="640" w:firstLineChars="200"/>
        <w:rPr>
          <w:rFonts w:hint="eastAsia"/>
          <w:b w:val="0"/>
          <w:lang w:eastAsia="zh-CN"/>
        </w:rPr>
      </w:pPr>
      <w:r>
        <w:rPr>
          <w:rFonts w:hint="eastAsia"/>
          <w:b w:val="0"/>
        </w:rPr>
        <w:t>本项目实施效果较好的原因主要是管理制度完善、责任落实到位，跟踪考核机制完善且运行有效，在项目实施过程中创新管理办法，采用</w:t>
      </w:r>
      <w:r>
        <w:rPr>
          <w:rFonts w:hint="eastAsia"/>
          <w:b w:val="0"/>
          <w:lang w:eastAsia="zh-CN"/>
        </w:rPr>
        <w:t>到场地技术指导服务</w:t>
      </w:r>
      <w:r>
        <w:rPr>
          <w:rFonts w:hint="eastAsia"/>
          <w:b w:val="0"/>
        </w:rPr>
        <w:t>方式使项目取得了良好的效果</w:t>
      </w:r>
      <w:r>
        <w:rPr>
          <w:rFonts w:hint="eastAsia"/>
          <w:b w:val="0"/>
          <w:lang w:eastAsia="zh-CN"/>
        </w:rPr>
        <w:t>。</w:t>
      </w:r>
    </w:p>
    <w:p>
      <w:pPr>
        <w:pStyle w:val="23"/>
        <w:numPr>
          <w:ilvl w:val="0"/>
          <w:numId w:val="7"/>
        </w:numPr>
        <w:ind w:left="0" w:firstLine="643" w:firstLineChars="200"/>
        <w:rPr>
          <w:highlight w:val="yellow"/>
        </w:rPr>
      </w:pPr>
      <w:r>
        <w:rPr>
          <w:rFonts w:hint="eastAsia"/>
          <w:highlight w:val="yellow"/>
        </w:rPr>
        <w:t>存在的问题及原因分析</w:t>
      </w:r>
    </w:p>
    <w:p>
      <w:pPr>
        <w:pStyle w:val="23"/>
        <w:numPr>
          <w:ilvl w:val="0"/>
          <w:numId w:val="0"/>
        </w:numPr>
        <w:rPr>
          <w:rFonts w:hint="eastAsia" w:eastAsia="仿宋_GB2312"/>
          <w:b w:val="0"/>
          <w:highlight w:val="yellow"/>
          <w:lang w:eastAsia="zh-CN"/>
        </w:rPr>
      </w:pPr>
      <w:r>
        <w:rPr>
          <w:rFonts w:hint="eastAsia"/>
          <w:b w:val="0"/>
          <w:highlight w:val="yellow"/>
        </w:rPr>
        <w:t xml:space="preserve"> </w:t>
      </w:r>
      <w:r>
        <w:rPr>
          <w:b w:val="0"/>
          <w:highlight w:val="yellow"/>
        </w:rPr>
        <w:t xml:space="preserve">   </w:t>
      </w:r>
      <w:r>
        <w:rPr>
          <w:rFonts w:hint="eastAsia"/>
          <w:b w:val="0"/>
          <w:highlight w:val="yellow"/>
          <w:lang w:eastAsia="zh-CN"/>
        </w:rPr>
        <w:t>无</w:t>
      </w:r>
    </w:p>
    <w:p>
      <w:pPr>
        <w:pStyle w:val="21"/>
        <w:numPr>
          <w:ilvl w:val="0"/>
          <w:numId w:val="2"/>
        </w:numPr>
        <w:ind w:firstLineChars="0"/>
        <w:rPr>
          <w:rFonts w:ascii="黑体" w:hAnsi="黑体"/>
        </w:rPr>
      </w:pPr>
      <w:r>
        <w:rPr>
          <w:rFonts w:hint="eastAsia" w:ascii="黑体" w:hAnsi="黑体"/>
        </w:rPr>
        <w:t>有关建议</w:t>
      </w:r>
    </w:p>
    <w:p>
      <w:pPr>
        <w:adjustRightInd w:val="0"/>
        <w:snapToGrid w:val="0"/>
        <w:spacing w:line="560" w:lineRule="exact"/>
        <w:ind w:firstLine="420" w:firstLineChars="200"/>
        <w:rPr>
          <w:rFonts w:ascii="黑体" w:hAnsi="黑体"/>
          <w:b w:val="0"/>
        </w:rPr>
      </w:pPr>
      <w:r>
        <w:rPr>
          <w:rFonts w:ascii="黑体" w:hAnsi="黑体"/>
          <w:b w:val="0"/>
        </w:rPr>
        <w:t xml:space="preserve"> </w:t>
      </w:r>
      <w:r>
        <w:rPr>
          <w:rFonts w:ascii="仿宋_GB2312" w:hAnsi="仿宋" w:eastAsia="仿宋_GB2312" w:cs="宋体"/>
          <w:b w:val="0"/>
          <w:kern w:val="2"/>
        </w:rPr>
        <w:t xml:space="preserve"> </w:t>
      </w:r>
      <w:r>
        <w:rPr>
          <w:rFonts w:hint="eastAsia" w:ascii="仿宋_GB2312" w:eastAsia="仿宋_GB2312" w:cs="Times New Roman" w:hAnsiTheme="majorHAnsi"/>
          <w:b w:val="0"/>
          <w:bCs/>
          <w:kern w:val="2"/>
          <w:sz w:val="32"/>
          <w:szCs w:val="32"/>
          <w:lang w:val="en-US" w:eastAsia="zh-CN" w:bidi="ar-SA"/>
        </w:rPr>
        <w:t>年初做好资金计划，按照项目进度及时拨付资金，使资金使用效益最大化，减少不必要的浪费，节约成本。</w:t>
      </w:r>
    </w:p>
    <w:p>
      <w:pPr>
        <w:pStyle w:val="21"/>
        <w:numPr>
          <w:ilvl w:val="0"/>
          <w:numId w:val="2"/>
        </w:numPr>
        <w:ind w:firstLineChars="0"/>
        <w:rPr>
          <w:rFonts w:ascii="黑体" w:hAnsi="黑体"/>
        </w:rPr>
      </w:pPr>
      <w:r>
        <w:rPr>
          <w:rFonts w:hint="eastAsia" w:ascii="黑体" w:hAnsi="黑体"/>
        </w:rPr>
        <w:t>其他需要说明的问题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eastAsia="仿宋_GB2312" w:cs="Times New Roman" w:hAnsiTheme="majorHAnsi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Times New Roman" w:hAnsiTheme="majorHAnsi"/>
          <w:b w:val="0"/>
          <w:bCs/>
          <w:kern w:val="2"/>
          <w:sz w:val="32"/>
          <w:szCs w:val="32"/>
          <w:lang w:val="en-US" w:eastAsia="zh-CN" w:bidi="ar-SA"/>
        </w:rPr>
        <w:t>无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附件1：喀什地区</w:t>
      </w:r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畜牧工作站肉羊良繁中心技术指导服务项目</w:t>
      </w:r>
      <w:r>
        <w:rPr>
          <w:rFonts w:hint="eastAsia" w:ascii="仿宋_GB2312" w:hAnsi="仿宋" w:eastAsia="仿宋_GB2312" w:cs="宋体"/>
          <w:sz w:val="32"/>
          <w:szCs w:val="32"/>
        </w:rPr>
        <w:t>支出绩效目标申报表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附件2：喀什地区</w:t>
      </w:r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畜牧工作站肉羊良繁中心技术指导服务项目</w:t>
      </w:r>
      <w:r>
        <w:rPr>
          <w:rFonts w:hint="eastAsia" w:ascii="仿宋_GB2312" w:hAnsi="仿宋" w:eastAsia="仿宋_GB2312" w:cs="宋体"/>
          <w:sz w:val="32"/>
          <w:szCs w:val="32"/>
        </w:rPr>
        <w:t>支出绩效目标表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附件3：喀什地区</w:t>
      </w:r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畜牧工作站肉羊良繁中心技术指导服务项目</w:t>
      </w:r>
      <w:r>
        <w:rPr>
          <w:rFonts w:hint="eastAsia" w:ascii="仿宋_GB2312" w:hAnsi="仿宋" w:eastAsia="仿宋_GB2312" w:cs="宋体"/>
          <w:sz w:val="32"/>
          <w:szCs w:val="32"/>
        </w:rPr>
        <w:t>支出绩效自评表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附件4：喀什地区</w:t>
      </w:r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畜牧工作站肉羊良繁中心技术指导服务项目</w:t>
      </w:r>
      <w:r>
        <w:rPr>
          <w:rFonts w:hint="eastAsia" w:ascii="仿宋_GB2312" w:hAnsi="仿宋" w:eastAsia="仿宋_GB2312" w:cs="宋体"/>
          <w:sz w:val="32"/>
          <w:szCs w:val="32"/>
        </w:rPr>
        <w:t>支出绩效评价指标体系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附件5：绩效评价依据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附件6：喀什地区</w:t>
      </w:r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畜牧工作站肉羊良繁中心技术指导服务项目</w:t>
      </w:r>
      <w:r>
        <w:rPr>
          <w:rFonts w:hint="eastAsia" w:ascii="仿宋_GB2312" w:hAnsi="仿宋" w:eastAsia="仿宋_GB2312" w:cs="宋体"/>
          <w:sz w:val="32"/>
          <w:szCs w:val="32"/>
        </w:rPr>
        <w:t>支出绩效评价评分表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</w:p>
    <w:bookmarkEnd w:id="8"/>
    <w:sectPr>
      <w:footerReference r:id="rId3" w:type="default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</w:p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3A6D133"/>
    <w:multiLevelType w:val="singleLevel"/>
    <w:tmpl w:val="A3A6D133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316D4D14"/>
    <w:multiLevelType w:val="multilevel"/>
    <w:tmpl w:val="316D4D14"/>
    <w:lvl w:ilvl="0" w:tentative="0">
      <w:start w:val="1"/>
      <w:numFmt w:val="decimal"/>
      <w:lvlText w:val="%1."/>
      <w:lvlJc w:val="left"/>
      <w:pPr>
        <w:ind w:left="988" w:hanging="420"/>
      </w:pPr>
    </w:lvl>
    <w:lvl w:ilvl="1" w:tentative="0">
      <w:start w:val="1"/>
      <w:numFmt w:val="decimal"/>
      <w:lvlText w:val="%2."/>
      <w:lvlJc w:val="left"/>
      <w:pPr>
        <w:ind w:left="1408" w:hanging="420"/>
      </w:pPr>
    </w:lvl>
    <w:lvl w:ilvl="2" w:tentative="0">
      <w:start w:val="1"/>
      <w:numFmt w:val="lowerRoman"/>
      <w:lvlText w:val="%3."/>
      <w:lvlJc w:val="right"/>
      <w:pPr>
        <w:ind w:left="1828" w:hanging="420"/>
      </w:pPr>
    </w:lvl>
    <w:lvl w:ilvl="3" w:tentative="0">
      <w:start w:val="1"/>
      <w:numFmt w:val="decimal"/>
      <w:lvlText w:val="%4."/>
      <w:lvlJc w:val="left"/>
      <w:pPr>
        <w:ind w:left="2248" w:hanging="420"/>
      </w:pPr>
    </w:lvl>
    <w:lvl w:ilvl="4" w:tentative="0">
      <w:start w:val="1"/>
      <w:numFmt w:val="lowerLetter"/>
      <w:lvlText w:val="%5)"/>
      <w:lvlJc w:val="left"/>
      <w:pPr>
        <w:ind w:left="2668" w:hanging="420"/>
      </w:pPr>
    </w:lvl>
    <w:lvl w:ilvl="5" w:tentative="0">
      <w:start w:val="1"/>
      <w:numFmt w:val="lowerRoman"/>
      <w:lvlText w:val="%6."/>
      <w:lvlJc w:val="right"/>
      <w:pPr>
        <w:ind w:left="3088" w:hanging="420"/>
      </w:pPr>
    </w:lvl>
    <w:lvl w:ilvl="6" w:tentative="0">
      <w:start w:val="1"/>
      <w:numFmt w:val="decimal"/>
      <w:lvlText w:val="%7."/>
      <w:lvlJc w:val="left"/>
      <w:pPr>
        <w:ind w:left="3508" w:hanging="420"/>
      </w:pPr>
    </w:lvl>
    <w:lvl w:ilvl="7" w:tentative="0">
      <w:start w:val="1"/>
      <w:numFmt w:val="lowerLetter"/>
      <w:lvlText w:val="%8)"/>
      <w:lvlJc w:val="left"/>
      <w:pPr>
        <w:ind w:left="3928" w:hanging="420"/>
      </w:pPr>
    </w:lvl>
    <w:lvl w:ilvl="8" w:tentative="0">
      <w:start w:val="1"/>
      <w:numFmt w:val="lowerRoman"/>
      <w:lvlText w:val="%9."/>
      <w:lvlJc w:val="right"/>
      <w:pPr>
        <w:ind w:left="4348" w:hanging="420"/>
      </w:pPr>
    </w:lvl>
  </w:abstractNum>
  <w:abstractNum w:abstractNumId="2">
    <w:nsid w:val="3A7260C0"/>
    <w:multiLevelType w:val="multilevel"/>
    <w:tmpl w:val="3A7260C0"/>
    <w:lvl w:ilvl="0" w:tentative="0">
      <w:start w:val="1"/>
      <w:numFmt w:val="chineseCountingThousand"/>
      <w:pStyle w:val="23"/>
      <w:lvlText w:val="(%1)"/>
      <w:lvlJc w:val="left"/>
      <w:pPr>
        <w:ind w:left="988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F37299F"/>
    <w:multiLevelType w:val="multilevel"/>
    <w:tmpl w:val="4F37299F"/>
    <w:lvl w:ilvl="0" w:tentative="0">
      <w:start w:val="1"/>
      <w:numFmt w:val="chineseCountingThousand"/>
      <w:lvlText w:val="(%1)"/>
      <w:lvlJc w:val="left"/>
      <w:pPr>
        <w:ind w:left="420" w:hanging="420"/>
      </w:pPr>
      <w:rPr>
        <w:rFonts w:hint="eastAsia"/>
      </w:rPr>
    </w:lvl>
    <w:lvl w:ilvl="1" w:tentative="0">
      <w:start w:val="1"/>
      <w:numFmt w:val="japaneseCounting"/>
      <w:lvlText w:val="（%2）"/>
      <w:lvlJc w:val="left"/>
      <w:pPr>
        <w:ind w:left="1500" w:hanging="108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B493FDA"/>
    <w:multiLevelType w:val="multilevel"/>
    <w:tmpl w:val="5B493FDA"/>
    <w:lvl w:ilvl="0" w:tentative="0">
      <w:start w:val="1"/>
      <w:numFmt w:val="chineseCountingThousand"/>
      <w:lvlText w:val="(%1)"/>
      <w:lvlJc w:val="left"/>
      <w:pPr>
        <w:ind w:left="106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5">
    <w:nsid w:val="6757463D"/>
    <w:multiLevelType w:val="multilevel"/>
    <w:tmpl w:val="6757463D"/>
    <w:lvl w:ilvl="0" w:tentative="0">
      <w:start w:val="1"/>
      <w:numFmt w:val="chineseCountingThousand"/>
      <w:lvlText w:val="%1、"/>
      <w:lvlJc w:val="left"/>
      <w:pPr>
        <w:ind w:left="1063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3" w:hanging="420"/>
      </w:pPr>
    </w:lvl>
    <w:lvl w:ilvl="2" w:tentative="0">
      <w:start w:val="1"/>
      <w:numFmt w:val="lowerRoman"/>
      <w:lvlText w:val="%3."/>
      <w:lvlJc w:val="right"/>
      <w:pPr>
        <w:ind w:left="1903" w:hanging="420"/>
      </w:pPr>
    </w:lvl>
    <w:lvl w:ilvl="3" w:tentative="0">
      <w:start w:val="1"/>
      <w:numFmt w:val="decimal"/>
      <w:lvlText w:val="%4."/>
      <w:lvlJc w:val="left"/>
      <w:pPr>
        <w:ind w:left="2323" w:hanging="420"/>
      </w:pPr>
    </w:lvl>
    <w:lvl w:ilvl="4" w:tentative="0">
      <w:start w:val="1"/>
      <w:numFmt w:val="lowerLetter"/>
      <w:lvlText w:val="%5)"/>
      <w:lvlJc w:val="left"/>
      <w:pPr>
        <w:ind w:left="2743" w:hanging="420"/>
      </w:pPr>
    </w:lvl>
    <w:lvl w:ilvl="5" w:tentative="0">
      <w:start w:val="1"/>
      <w:numFmt w:val="lowerRoman"/>
      <w:lvlText w:val="%6."/>
      <w:lvlJc w:val="right"/>
      <w:pPr>
        <w:ind w:left="3163" w:hanging="420"/>
      </w:pPr>
    </w:lvl>
    <w:lvl w:ilvl="6" w:tentative="0">
      <w:start w:val="1"/>
      <w:numFmt w:val="decimal"/>
      <w:lvlText w:val="%7."/>
      <w:lvlJc w:val="left"/>
      <w:pPr>
        <w:ind w:left="3583" w:hanging="420"/>
      </w:pPr>
    </w:lvl>
    <w:lvl w:ilvl="7" w:tentative="0">
      <w:start w:val="1"/>
      <w:numFmt w:val="lowerLetter"/>
      <w:lvlText w:val="%8)"/>
      <w:lvlJc w:val="left"/>
      <w:pPr>
        <w:ind w:left="4003" w:hanging="420"/>
      </w:pPr>
    </w:lvl>
    <w:lvl w:ilvl="8" w:tentative="0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0"/>
  </w:num>
  <w:num w:numId="7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0"/>
  <w:drawingGridHorizontalSpacing w:val="210"/>
  <w:drawingGridVerticalSpacing w:val="158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75715"/>
    <w:rsid w:val="00022413"/>
    <w:rsid w:val="00037F93"/>
    <w:rsid w:val="00042126"/>
    <w:rsid w:val="000C7EF1"/>
    <w:rsid w:val="000E0C7B"/>
    <w:rsid w:val="000F2007"/>
    <w:rsid w:val="00100A64"/>
    <w:rsid w:val="00100AA9"/>
    <w:rsid w:val="001143D6"/>
    <w:rsid w:val="0012798F"/>
    <w:rsid w:val="00132553"/>
    <w:rsid w:val="00151AF1"/>
    <w:rsid w:val="00174F3A"/>
    <w:rsid w:val="0018169D"/>
    <w:rsid w:val="00193649"/>
    <w:rsid w:val="0019720C"/>
    <w:rsid w:val="001A1902"/>
    <w:rsid w:val="001A4FFA"/>
    <w:rsid w:val="001B5B44"/>
    <w:rsid w:val="001D5FF2"/>
    <w:rsid w:val="001D6F2E"/>
    <w:rsid w:val="00203FB6"/>
    <w:rsid w:val="00233ECE"/>
    <w:rsid w:val="00297A4D"/>
    <w:rsid w:val="002A1BF4"/>
    <w:rsid w:val="002B3A72"/>
    <w:rsid w:val="002C6231"/>
    <w:rsid w:val="002F7CDC"/>
    <w:rsid w:val="00324E56"/>
    <w:rsid w:val="00331AF1"/>
    <w:rsid w:val="003468D7"/>
    <w:rsid w:val="00363E52"/>
    <w:rsid w:val="00382736"/>
    <w:rsid w:val="003A04D1"/>
    <w:rsid w:val="003C327E"/>
    <w:rsid w:val="003C4B3D"/>
    <w:rsid w:val="003C6E7F"/>
    <w:rsid w:val="003E0E95"/>
    <w:rsid w:val="003F1C70"/>
    <w:rsid w:val="003F2E47"/>
    <w:rsid w:val="00403544"/>
    <w:rsid w:val="004115AA"/>
    <w:rsid w:val="00434C92"/>
    <w:rsid w:val="00443C47"/>
    <w:rsid w:val="00452560"/>
    <w:rsid w:val="00467DBB"/>
    <w:rsid w:val="004A0587"/>
    <w:rsid w:val="004C56AB"/>
    <w:rsid w:val="004D088E"/>
    <w:rsid w:val="004D4F06"/>
    <w:rsid w:val="005225F1"/>
    <w:rsid w:val="00531253"/>
    <w:rsid w:val="00540B36"/>
    <w:rsid w:val="00563E06"/>
    <w:rsid w:val="0058554B"/>
    <w:rsid w:val="00596DDF"/>
    <w:rsid w:val="005B6EAB"/>
    <w:rsid w:val="005D7AC7"/>
    <w:rsid w:val="00630E69"/>
    <w:rsid w:val="006362B2"/>
    <w:rsid w:val="0065420A"/>
    <w:rsid w:val="006869EC"/>
    <w:rsid w:val="00694A44"/>
    <w:rsid w:val="006D0AA4"/>
    <w:rsid w:val="006F2513"/>
    <w:rsid w:val="006F64CB"/>
    <w:rsid w:val="007161B2"/>
    <w:rsid w:val="0071759F"/>
    <w:rsid w:val="007253B3"/>
    <w:rsid w:val="00731D46"/>
    <w:rsid w:val="00734BAD"/>
    <w:rsid w:val="00752C57"/>
    <w:rsid w:val="00781733"/>
    <w:rsid w:val="007C5CF9"/>
    <w:rsid w:val="007D340B"/>
    <w:rsid w:val="007E6392"/>
    <w:rsid w:val="007F3C25"/>
    <w:rsid w:val="00811F2D"/>
    <w:rsid w:val="00815938"/>
    <w:rsid w:val="008226BA"/>
    <w:rsid w:val="00827DA6"/>
    <w:rsid w:val="00835103"/>
    <w:rsid w:val="00854416"/>
    <w:rsid w:val="00866F54"/>
    <w:rsid w:val="00883FF2"/>
    <w:rsid w:val="0089293E"/>
    <w:rsid w:val="00893E6C"/>
    <w:rsid w:val="008D7BC7"/>
    <w:rsid w:val="0090104C"/>
    <w:rsid w:val="00982B10"/>
    <w:rsid w:val="009C0267"/>
    <w:rsid w:val="009E5354"/>
    <w:rsid w:val="00A10F1E"/>
    <w:rsid w:val="00A12A0C"/>
    <w:rsid w:val="00A365D5"/>
    <w:rsid w:val="00A41DB8"/>
    <w:rsid w:val="00A43094"/>
    <w:rsid w:val="00A53361"/>
    <w:rsid w:val="00A5786D"/>
    <w:rsid w:val="00A60191"/>
    <w:rsid w:val="00A81609"/>
    <w:rsid w:val="00A85237"/>
    <w:rsid w:val="00AB07C5"/>
    <w:rsid w:val="00AE1FDF"/>
    <w:rsid w:val="00AE3042"/>
    <w:rsid w:val="00B03B29"/>
    <w:rsid w:val="00B16C8F"/>
    <w:rsid w:val="00B32FA4"/>
    <w:rsid w:val="00B36F46"/>
    <w:rsid w:val="00B47B13"/>
    <w:rsid w:val="00B53BE4"/>
    <w:rsid w:val="00B6063F"/>
    <w:rsid w:val="00B9042A"/>
    <w:rsid w:val="00BA0855"/>
    <w:rsid w:val="00BA63AB"/>
    <w:rsid w:val="00BA65AD"/>
    <w:rsid w:val="00BB7BF0"/>
    <w:rsid w:val="00BC7696"/>
    <w:rsid w:val="00C2671D"/>
    <w:rsid w:val="00C563AA"/>
    <w:rsid w:val="00C71FF0"/>
    <w:rsid w:val="00C77259"/>
    <w:rsid w:val="00C97E2D"/>
    <w:rsid w:val="00D043D7"/>
    <w:rsid w:val="00D117FB"/>
    <w:rsid w:val="00D23C2E"/>
    <w:rsid w:val="00D61EC8"/>
    <w:rsid w:val="00D86AC2"/>
    <w:rsid w:val="00D93516"/>
    <w:rsid w:val="00DA7F4C"/>
    <w:rsid w:val="00DC5F94"/>
    <w:rsid w:val="00DE152F"/>
    <w:rsid w:val="00DE293B"/>
    <w:rsid w:val="00E05626"/>
    <w:rsid w:val="00E25B2F"/>
    <w:rsid w:val="00E373A5"/>
    <w:rsid w:val="00E66A4D"/>
    <w:rsid w:val="00E72B1C"/>
    <w:rsid w:val="00E96169"/>
    <w:rsid w:val="00EF7B48"/>
    <w:rsid w:val="00F0780F"/>
    <w:rsid w:val="00F16D54"/>
    <w:rsid w:val="00F6015C"/>
    <w:rsid w:val="00F75715"/>
    <w:rsid w:val="00FB2E2F"/>
    <w:rsid w:val="00FD300A"/>
    <w:rsid w:val="00FF137F"/>
    <w:rsid w:val="00FF6959"/>
    <w:rsid w:val="00FF6C14"/>
    <w:rsid w:val="01BE6316"/>
    <w:rsid w:val="0C4366A2"/>
    <w:rsid w:val="217F35A7"/>
    <w:rsid w:val="24E73B1F"/>
    <w:rsid w:val="26F03C06"/>
    <w:rsid w:val="2A547683"/>
    <w:rsid w:val="49754291"/>
    <w:rsid w:val="4D5F26E9"/>
    <w:rsid w:val="4F107CB5"/>
    <w:rsid w:val="52E43878"/>
    <w:rsid w:val="55CD4ABE"/>
    <w:rsid w:val="57964064"/>
    <w:rsid w:val="667765BF"/>
    <w:rsid w:val="6894142C"/>
    <w:rsid w:val="7775238E"/>
    <w:rsid w:val="7A863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6"/>
    <w:qFormat/>
    <w:uiPriority w:val="9"/>
    <w:pPr>
      <w:keepNext/>
      <w:keepLines/>
      <w:spacing w:before="340" w:after="330" w:line="578" w:lineRule="auto"/>
      <w:outlineLvl w:val="0"/>
    </w:pPr>
    <w:rPr>
      <w:rFonts w:ascii="Times New Roman" w:hAnsi="Times New Roman" w:eastAsia="黑体" w:cs="Arial"/>
      <w:b/>
      <w:bCs/>
      <w:kern w:val="44"/>
      <w:sz w:val="28"/>
      <w:szCs w:val="44"/>
    </w:rPr>
  </w:style>
  <w:style w:type="paragraph" w:styleId="2">
    <w:name w:val="heading 2"/>
    <w:basedOn w:val="1"/>
    <w:next w:val="1"/>
    <w:link w:val="22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32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semiHidden/>
    <w:unhideWhenUsed/>
    <w:qFormat/>
    <w:uiPriority w:val="39"/>
    <w:rPr>
      <w:rFonts w:eastAsia="仿宋_GB2312"/>
      <w:sz w:val="28"/>
    </w:rPr>
  </w:style>
  <w:style w:type="paragraph" w:styleId="6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  <w:rPr>
      <w:rFonts w:eastAsia="仿宋_GB2312"/>
      <w:sz w:val="28"/>
    </w:rPr>
  </w:style>
  <w:style w:type="paragraph" w:styleId="10">
    <w:name w:val="toc 2"/>
    <w:basedOn w:val="1"/>
    <w:next w:val="1"/>
    <w:unhideWhenUsed/>
    <w:qFormat/>
    <w:uiPriority w:val="39"/>
    <w:rPr>
      <w:rFonts w:eastAsia="仿宋_GB2312"/>
      <w:sz w:val="2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3">
    <w:name w:val="Hyperlink"/>
    <w:basedOn w:val="12"/>
    <w:unhideWhenUsed/>
    <w:qFormat/>
    <w:uiPriority w:val="99"/>
    <w:rPr>
      <w:color w:val="0563C1" w:themeColor="hyperlink"/>
      <w:u w:val="single"/>
    </w:rPr>
  </w:style>
  <w:style w:type="table" w:styleId="15">
    <w:name w:val="Table Grid"/>
    <w:basedOn w:val="1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标题 1 Char"/>
    <w:basedOn w:val="12"/>
    <w:link w:val="3"/>
    <w:qFormat/>
    <w:uiPriority w:val="9"/>
    <w:rPr>
      <w:rFonts w:ascii="Times New Roman" w:hAnsi="Times New Roman" w:eastAsia="黑体" w:cs="Arial"/>
      <w:b/>
      <w:bCs/>
      <w:kern w:val="44"/>
      <w:sz w:val="28"/>
      <w:szCs w:val="44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页眉 Char"/>
    <w:basedOn w:val="12"/>
    <w:link w:val="8"/>
    <w:qFormat/>
    <w:uiPriority w:val="99"/>
    <w:rPr>
      <w:sz w:val="18"/>
      <w:szCs w:val="18"/>
    </w:rPr>
  </w:style>
  <w:style w:type="character" w:customStyle="1" w:styleId="19">
    <w:name w:val="页脚 Char"/>
    <w:basedOn w:val="12"/>
    <w:link w:val="7"/>
    <w:qFormat/>
    <w:uiPriority w:val="99"/>
    <w:rPr>
      <w:sz w:val="18"/>
      <w:szCs w:val="18"/>
    </w:rPr>
  </w:style>
  <w:style w:type="character" w:customStyle="1" w:styleId="20">
    <w:name w:val="批注框文本 Char"/>
    <w:basedOn w:val="12"/>
    <w:link w:val="6"/>
    <w:semiHidden/>
    <w:qFormat/>
    <w:uiPriority w:val="99"/>
    <w:rPr>
      <w:sz w:val="18"/>
      <w:szCs w:val="18"/>
    </w:rPr>
  </w:style>
  <w:style w:type="paragraph" w:customStyle="1" w:styleId="21">
    <w:name w:val="标题1"/>
    <w:basedOn w:val="3"/>
    <w:qFormat/>
    <w:uiPriority w:val="0"/>
    <w:pPr>
      <w:spacing w:before="120" w:after="120" w:line="500" w:lineRule="exact"/>
      <w:ind w:firstLine="200" w:firstLineChars="200"/>
    </w:pPr>
    <w:rPr>
      <w:rFonts w:cs="Times New Roman"/>
      <w:sz w:val="32"/>
      <w:szCs w:val="32"/>
    </w:rPr>
  </w:style>
  <w:style w:type="character" w:customStyle="1" w:styleId="22">
    <w:name w:val="标题 2 Char"/>
    <w:basedOn w:val="12"/>
    <w:link w:val="2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23">
    <w:name w:val="标题2"/>
    <w:basedOn w:val="2"/>
    <w:qFormat/>
    <w:uiPriority w:val="0"/>
    <w:pPr>
      <w:numPr>
        <w:ilvl w:val="0"/>
        <w:numId w:val="1"/>
      </w:numPr>
      <w:spacing w:before="120" w:after="120" w:line="500" w:lineRule="exact"/>
    </w:pPr>
    <w:rPr>
      <w:rFonts w:ascii="仿宋_GB2312" w:eastAsia="仿宋_GB2312" w:cs="Times New Roman"/>
    </w:rPr>
  </w:style>
  <w:style w:type="paragraph" w:customStyle="1" w:styleId="24">
    <w:name w:val="TOC 标题1"/>
    <w:basedOn w:val="3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496" w:themeColor="accent1" w:themeShade="BF"/>
      <w:kern w:val="0"/>
      <w:sz w:val="32"/>
      <w:szCs w:val="32"/>
    </w:rPr>
  </w:style>
  <w:style w:type="character" w:customStyle="1" w:styleId="25">
    <w:name w:val="闻政正文 Char"/>
    <w:link w:val="26"/>
    <w:qFormat/>
    <w:uiPriority w:val="0"/>
    <w:rPr>
      <w:rFonts w:ascii="Times New Roman" w:hAnsi="Times New Roman" w:eastAsia="仿宋_GB2312" w:cs="Times New Roman"/>
      <w:sz w:val="28"/>
      <w:szCs w:val="28"/>
    </w:rPr>
  </w:style>
  <w:style w:type="paragraph" w:customStyle="1" w:styleId="26">
    <w:name w:val="闻政正文"/>
    <w:basedOn w:val="1"/>
    <w:link w:val="25"/>
    <w:qFormat/>
    <w:uiPriority w:val="0"/>
    <w:pPr>
      <w:spacing w:line="500" w:lineRule="exact"/>
      <w:ind w:firstLine="560" w:firstLineChars="200"/>
    </w:pPr>
    <w:rPr>
      <w:rFonts w:ascii="Times New Roman" w:hAnsi="Times New Roman" w:eastAsia="仿宋_GB2312" w:cs="Times New Roman"/>
      <w:sz w:val="28"/>
      <w:szCs w:val="28"/>
    </w:rPr>
  </w:style>
  <w:style w:type="character" w:customStyle="1" w:styleId="27">
    <w:name w:val="闻政表 Char"/>
    <w:link w:val="28"/>
    <w:qFormat/>
    <w:uiPriority w:val="0"/>
    <w:rPr>
      <w:rFonts w:ascii="Times New Roman" w:hAnsi="Times New Roman" w:eastAsia="仿宋_GB2312" w:cs="Times New Roman"/>
      <w:b/>
      <w:sz w:val="24"/>
      <w:szCs w:val="28"/>
    </w:rPr>
  </w:style>
  <w:style w:type="paragraph" w:customStyle="1" w:styleId="28">
    <w:name w:val="闻政表"/>
    <w:basedOn w:val="1"/>
    <w:link w:val="27"/>
    <w:qFormat/>
    <w:uiPriority w:val="0"/>
    <w:pPr>
      <w:spacing w:before="60" w:after="60"/>
      <w:jc w:val="center"/>
    </w:pPr>
    <w:rPr>
      <w:rFonts w:ascii="Times New Roman" w:hAnsi="Times New Roman" w:eastAsia="仿宋_GB2312" w:cs="Times New Roman"/>
      <w:b/>
      <w:sz w:val="24"/>
      <w:szCs w:val="28"/>
    </w:rPr>
  </w:style>
  <w:style w:type="paragraph" w:customStyle="1" w:styleId="29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eastAsia="宋体" w:cs="Times New Roman"/>
      <w:szCs w:val="22"/>
    </w:rPr>
  </w:style>
  <w:style w:type="character" w:customStyle="1" w:styleId="30">
    <w:name w:val="闻政标题3 Char"/>
    <w:link w:val="31"/>
    <w:qFormat/>
    <w:uiPriority w:val="0"/>
    <w:rPr>
      <w:rFonts w:ascii="黑体" w:hAnsi="黑体" w:eastAsia="黑体" w:cs="Times New Roman"/>
      <w:bCs/>
      <w:sz w:val="32"/>
      <w:szCs w:val="32"/>
    </w:rPr>
  </w:style>
  <w:style w:type="paragraph" w:customStyle="1" w:styleId="31">
    <w:name w:val="闻政标题3"/>
    <w:basedOn w:val="4"/>
    <w:link w:val="30"/>
    <w:qFormat/>
    <w:uiPriority w:val="99"/>
    <w:pPr>
      <w:spacing w:before="120" w:after="60" w:line="500" w:lineRule="exact"/>
      <w:jc w:val="left"/>
      <w:outlineLvl w:val="0"/>
    </w:pPr>
    <w:rPr>
      <w:rFonts w:ascii="黑体" w:hAnsi="黑体" w:eastAsia="黑体" w:cs="Times New Roman"/>
      <w:b w:val="0"/>
    </w:rPr>
  </w:style>
  <w:style w:type="character" w:customStyle="1" w:styleId="32">
    <w:name w:val="标题 3 Char"/>
    <w:basedOn w:val="12"/>
    <w:link w:val="4"/>
    <w:semiHidden/>
    <w:qFormat/>
    <w:uiPriority w:val="9"/>
    <w:rPr>
      <w:b/>
      <w:bCs/>
      <w:sz w:val="32"/>
      <w:szCs w:val="32"/>
    </w:rPr>
  </w:style>
  <w:style w:type="paragraph" w:customStyle="1" w:styleId="33">
    <w:name w:val="Body text|1"/>
    <w:basedOn w:val="1"/>
    <w:link w:val="34"/>
    <w:qFormat/>
    <w:uiPriority w:val="0"/>
    <w:pPr>
      <w:spacing w:after="40" w:line="334" w:lineRule="auto"/>
    </w:pPr>
    <w:rPr>
      <w:rFonts w:ascii="MingLiU" w:hAnsi="MingLiU" w:eastAsia="MingLiU" w:cs="MingLiU"/>
      <w:sz w:val="20"/>
      <w:szCs w:val="20"/>
      <w:lang w:val="zh-TW" w:eastAsia="zh-TW" w:bidi="zh-TW"/>
    </w:rPr>
  </w:style>
  <w:style w:type="character" w:customStyle="1" w:styleId="34">
    <w:name w:val="Body text|1_"/>
    <w:basedOn w:val="12"/>
    <w:link w:val="33"/>
    <w:unhideWhenUsed/>
    <w:qFormat/>
    <w:uiPriority w:val="0"/>
    <w:rPr>
      <w:rFonts w:ascii="MingLiU" w:hAnsi="MingLiU" w:eastAsia="MingLiU" w:cs="MingLiU"/>
      <w:sz w:val="20"/>
      <w:szCs w:val="2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96A8569-4AA6-4072-8F90-B68B43F703D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512</Words>
  <Characters>2923</Characters>
  <Lines>24</Lines>
  <Paragraphs>6</Paragraphs>
  <TotalTime>10</TotalTime>
  <ScaleCrop>false</ScaleCrop>
  <LinksUpToDate>false</LinksUpToDate>
  <CharactersWithSpaces>3429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2019-11-22T05:12:00Z</dcterms:created>
  <dc:creator>ThinkPad</dc:creator>
  <cp:lastModifiedBy>ASUS</cp:lastModifiedBy>
  <dcterms:modified xsi:type="dcterms:W3CDTF">2020-09-05T05:59:30Z</dcterms:modified>
  <dc:title>新疆普天鹏华商务信息咨询有限公司</dc:title>
  <cp:revision>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