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064A3A" w:rsidRDefault="00377EC6" w:rsidP="00064A3A">
      <w:pPr>
        <w:jc w:val="center"/>
        <w:rPr>
          <w:rFonts w:ascii="方正小标宋_GBK" w:eastAsia="方正小标宋_GBK" w:hAnsi="方正小标宋_GBK" w:cs="方正小标宋_GBK"/>
          <w:sz w:val="44"/>
        </w:rPr>
      </w:pPr>
      <w:r>
        <w:rPr>
          <w:rFonts w:ascii="方正小标宋_GBK" w:eastAsia="方正小标宋_GBK" w:hAnsi="方正小标宋_GBK" w:cs="方正小标宋_GBK"/>
          <w:sz w:val="44"/>
        </w:rPr>
        <w:t>新疆喀什地区畜牧工作站2019年度部门决算</w:t>
      </w:r>
    </w:p>
    <w:p w:rsidR="008853A8" w:rsidRPr="00064A3A" w:rsidRDefault="008853A8" w:rsidP="00064A3A">
      <w:pPr>
        <w:jc w:val="center"/>
        <w:rPr>
          <w:rFonts w:ascii="方正小标宋_GBK" w:eastAsia="方正小标宋_GBK" w:hAnsi="方正小标宋_GBK" w:cs="方正小标宋_GBK"/>
          <w:sz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4B02BC">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4B02BC">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4B02BC">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4B02BC">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4B02BC">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4B02BC">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4B02BC">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4B02BC">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4B02BC">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1、负责全区畜禽品种改良、畜牧技术推广和技术服务，畜禽遗传资源保护、种畜禽生产、良种推广、规模化养殖、备案管理、标准化生产、技术支撑、政策调研和信息平台等。      2、组织技术培训，开展技术咨询工作，传授普及科学知识。      3、生产和供应黄牛、绵羊改良使用的液氮、冻精、解冻液及改良器械。</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新疆喀什地区畜牧工作站2019年度，实有人数63人，其中：在职人员36人，离休人员0人，退休人员27人。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从部门决算单位构成看，新疆喀什地区畜牧工作站部门决算包括：新疆喀什地区畜牧工作站决算。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645.28万元，与上年相比，增加7.78万元，增长1.22%，主要原因是：本年人员工资正常晋升，工资福利资金增加；增加良补冻精项目和肉羊良繁中心技术指导服务项目，收入增加。本年支出644.73万元，与上年相比，增加7.23万元，增长1.13%，主要原因是：本年人员工资正常晋升，工资福利支出增加；增加良补冻精项目和肉羊良繁中心技术指导服务项目，项目支出增加。</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lastRenderedPageBreak/>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2019年度本年收入645.28万元，其中：财政拨款收入645.28万元，占100%；上级补助收入0万元，占0%；事业收入0万元，占0%；经营收入0万元，占0%；附属单位上缴收入0万元，占0%；其他收入0万元，占0%。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2019年度本年支出644.73万元，其中：基本支出626.53万元，占97.18%；项目支出18.20万元，占2.82%；上缴上级支出0万元，占0%；经营支出0万元，占0%；对附属单位补助支出0万元，占0%。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645.28万元，与上年相比，增加7.78万元，增长1.22%，主要原因是：本年人员工资正常晋升，工资福利资金增加；增加良补冻精项目和肉羊良繁中心技术指导服务项目，收入增加。财政拨款支出644.73万元，与上年相比，增加7.23万元，增长1.13%，主要原因是：本年人员工资正常晋升，工资福利支出增加；增加良补冻精项目和肉羊良繁中心技术指导服务项目，项目支出增加。</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与年初预算数相比情况：财政拨款收入年初预算数673.85万元，决算数645.28万元，预决算差异率-4.24%，主要原因是：本年退休增加1人，退休死亡1人，人员工资福利经费减少。财政拨款支出年初预算数673.85万元，决</w:t>
      </w:r>
      <w:r>
        <w:rPr>
          <w:rFonts w:ascii="仿宋_GB2312" w:eastAsia="仿宋_GB2312" w:hAnsi="仿宋_GB2312" w:cs="仿宋_GB2312"/>
          <w:sz w:val="32"/>
        </w:rPr>
        <w:lastRenderedPageBreak/>
        <w:t>算数644.73万元，预决算差异率-4.32%，主要原因是：本年退休增加1人，退休死亡1人，人员工资福利经费减少。</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2019年度一般公共预算财政拨款支出644.73万元。按功能分类科目项级科目公开，其中：</w:t>
      </w:r>
    </w:p>
    <w:p w:rsidR="00C32B1D" w:rsidRDefault="00D737AE">
      <w:pPr>
        <w:ind w:firstLine="480"/>
      </w:pPr>
      <w:r>
        <w:rPr>
          <w:rFonts w:ascii="仿宋_GB2312" w:eastAsia="仿宋_GB2312" w:hAnsi="仿宋_GB2312" w:cs="仿宋_GB2312"/>
          <w:sz w:val="32"/>
        </w:rPr>
        <w:t xml:space="preserve"> </w:t>
      </w:r>
      <w:r w:rsidR="003C0B2F">
        <w:rPr>
          <w:rFonts w:ascii="仿宋_GB2312" w:eastAsia="仿宋_GB2312" w:hAnsi="仿宋_GB2312" w:cs="仿宋_GB2312"/>
          <w:sz w:val="32"/>
        </w:rPr>
        <w:t>2299901其他支出9万元。</w:t>
      </w:r>
    </w:p>
    <w:p w:rsidR="00C32B1D" w:rsidRDefault="00D737AE">
      <w:pPr>
        <w:ind w:firstLine="480"/>
      </w:pPr>
      <w:r>
        <w:rPr>
          <w:rFonts w:ascii="仿宋_GB2312" w:eastAsia="仿宋_GB2312" w:hAnsi="仿宋_GB2312" w:cs="仿宋_GB2312"/>
          <w:sz w:val="32"/>
        </w:rPr>
        <w:t xml:space="preserve"> </w:t>
      </w:r>
      <w:r w:rsidR="003C0B2F">
        <w:rPr>
          <w:rFonts w:ascii="仿宋_GB2312" w:eastAsia="仿宋_GB2312" w:hAnsi="仿宋_GB2312" w:cs="仿宋_GB2312"/>
          <w:sz w:val="32"/>
        </w:rPr>
        <w:t>2210201住房公积金支出39.75万元；</w:t>
      </w:r>
    </w:p>
    <w:p w:rsidR="00C32B1D" w:rsidRDefault="00D737AE">
      <w:pPr>
        <w:ind w:firstLine="480"/>
      </w:pPr>
      <w:r>
        <w:rPr>
          <w:rFonts w:ascii="仿宋_GB2312" w:eastAsia="仿宋_GB2312" w:hAnsi="仿宋_GB2312" w:cs="仿宋_GB2312"/>
          <w:sz w:val="32"/>
        </w:rPr>
        <w:t xml:space="preserve"> </w:t>
      </w:r>
      <w:r w:rsidR="003C0B2F">
        <w:rPr>
          <w:rFonts w:ascii="仿宋_GB2312" w:eastAsia="仿宋_GB2312" w:hAnsi="仿宋_GB2312" w:cs="仿宋_GB2312"/>
          <w:sz w:val="32"/>
        </w:rPr>
        <w:t>2130106科技转化与推广服务支出531.61万元；</w:t>
      </w:r>
    </w:p>
    <w:p w:rsidR="00C32B1D" w:rsidRDefault="00D737AE">
      <w:pPr>
        <w:ind w:firstLine="480"/>
      </w:pPr>
      <w:r>
        <w:rPr>
          <w:rFonts w:ascii="仿宋_GB2312" w:eastAsia="仿宋_GB2312" w:hAnsi="仿宋_GB2312" w:cs="仿宋_GB2312"/>
          <w:sz w:val="32"/>
        </w:rPr>
        <w:t xml:space="preserve"> </w:t>
      </w:r>
      <w:r w:rsidR="003C0B2F">
        <w:rPr>
          <w:rFonts w:ascii="仿宋_GB2312" w:eastAsia="仿宋_GB2312" w:hAnsi="仿宋_GB2312" w:cs="仿宋_GB2312"/>
          <w:sz w:val="32"/>
        </w:rPr>
        <w:t>2080506机关事业单位职业年金缴费支出10.81万元；</w:t>
      </w:r>
    </w:p>
    <w:p w:rsidR="00C32B1D" w:rsidRDefault="00D737AE">
      <w:pPr>
        <w:ind w:firstLine="480"/>
      </w:pPr>
      <w:r>
        <w:rPr>
          <w:rFonts w:ascii="仿宋_GB2312" w:eastAsia="仿宋_GB2312" w:hAnsi="仿宋_GB2312" w:cs="仿宋_GB2312"/>
          <w:sz w:val="32"/>
        </w:rPr>
        <w:t xml:space="preserve"> </w:t>
      </w:r>
      <w:r w:rsidR="003C0B2F">
        <w:rPr>
          <w:rFonts w:ascii="仿宋_GB2312" w:eastAsia="仿宋_GB2312" w:hAnsi="仿宋_GB2312" w:cs="仿宋_GB2312"/>
          <w:sz w:val="32"/>
        </w:rPr>
        <w:t>2080505机关事业单位基本养老保险缴费支出53.57万元；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2019年度一般公共预算财政拨款基本支出626.53万元，其中：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607.01万元，包括：基本工资、津贴补贴、奖金、绩效工资、机关事业单位基本养老保险缴费、职业年金缴费、职工基本医疗保险缴费、公务员医疗补助缴费、其他社会保障缴费、住房公积金、退休费、抚恤金、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公用经费19.52万元，包括：办公费、水费、电费、邮电费、取暖费、物业管理费、差旅费、公务用车运行维护费、其他交通费用。</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lastRenderedPageBreak/>
        <w:t>七、一般公共预算财政拨款“三公”经费支出决算情况说明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3.60万元，比上年增加0万元，增长0%，主要原因是与上年相比无变动，与上年一致。其中，因公出国（境）费支出0万元，占0%，比上年增加0万元，增长0%，主要原因是与上年相比无变动，与上年一致；公务用车购置及运行维护费支出3.60万元，占100%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公务用车购置及运行维护费3.60万元，其中，公务用车购置费0万元，公务用车运行维护费3.60万元。公务用车运行维护费开支内容包括公务用车油料，维护费，过路费。公务用车购置数0辆，公务用车保有量2辆。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与年初预算数相比情况：一般公共预算“三公”经费支出年初预算数3.60万元，决算数3.60万元，预决算差异率</w:t>
      </w:r>
      <w:r>
        <w:rPr>
          <w:rFonts w:ascii="仿宋_GB2312" w:eastAsia="仿宋_GB2312" w:hAnsi="仿宋_GB2312" w:cs="仿宋_GB2312"/>
          <w:sz w:val="32"/>
        </w:rPr>
        <w:lastRenderedPageBreak/>
        <w:t>0%，主要原因是：严格按照预算安排执行，无差异。其中：因公出国（境）费预算数0万元，决算数0万元，预决算差异率0%，主要原因是：预算未安排，无此项支出；公务用车购置费预算数0万元，决算数0万元，预决算差异率0%，主要原因是：预算未安排，无此项支出；公务用车运行费预算数3.60万元，决算数3.60万元，预决算差异率0%，主要原因是：严格按照预算安排执行，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新疆喀什地区畜牧工作站日常公用经费19.52万元，比上年减少0.43万元，降低2.16%，主要原因是人员减少——在职转退休增加1人，退休死亡1人，日常公用经费减少。</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2019年度政府采购支出总额1.61万元，其中：政府采购货物支出0.98</w:t>
      </w:r>
      <w:r w:rsidR="00D737AE">
        <w:rPr>
          <w:rFonts w:ascii="仿宋_GB2312" w:eastAsia="仿宋_GB2312" w:hAnsi="仿宋_GB2312" w:cs="仿宋_GB2312"/>
          <w:sz w:val="32"/>
        </w:rPr>
        <w:t>万元</w:t>
      </w:r>
      <w:r w:rsidR="00D737AE">
        <w:rPr>
          <w:rFonts w:ascii="仿宋_GB2312" w:eastAsia="仿宋_GB2312" w:hAnsi="仿宋_GB2312" w:cs="仿宋_GB2312" w:hint="eastAsia"/>
          <w:sz w:val="32"/>
        </w:rPr>
        <w:t>,</w:t>
      </w:r>
      <w:r>
        <w:rPr>
          <w:rFonts w:ascii="仿宋_GB2312" w:eastAsia="仿宋_GB2312" w:hAnsi="仿宋_GB2312" w:cs="仿宋_GB2312"/>
          <w:sz w:val="32"/>
        </w:rPr>
        <w:t>政府采购工程支出0</w:t>
      </w:r>
      <w:r w:rsidR="00D737AE">
        <w:rPr>
          <w:rFonts w:ascii="仿宋_GB2312" w:eastAsia="仿宋_GB2312" w:hAnsi="仿宋_GB2312" w:cs="仿宋_GB2312"/>
          <w:sz w:val="32"/>
        </w:rPr>
        <w:t>万元</w:t>
      </w:r>
      <w:r w:rsidR="00D737AE">
        <w:rPr>
          <w:rFonts w:ascii="仿宋_GB2312" w:eastAsia="仿宋_GB2312" w:hAnsi="仿宋_GB2312" w:cs="仿宋_GB2312" w:hint="eastAsia"/>
          <w:sz w:val="32"/>
        </w:rPr>
        <w:t>,</w:t>
      </w:r>
      <w:r>
        <w:rPr>
          <w:rFonts w:ascii="仿宋_GB2312" w:eastAsia="仿宋_GB2312" w:hAnsi="仿宋_GB2312" w:cs="仿宋_GB2312"/>
          <w:sz w:val="32"/>
        </w:rPr>
        <w:t>政府采购服务支出0.63万元。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授予中小企业合同金额1.61万元，占政府采购支出总</w:t>
      </w:r>
      <w:r>
        <w:rPr>
          <w:rFonts w:ascii="仿宋_GB2312" w:eastAsia="仿宋_GB2312" w:hAnsi="仿宋_GB2312" w:cs="仿宋_GB2312"/>
          <w:sz w:val="32"/>
        </w:rPr>
        <w:lastRenderedPageBreak/>
        <w:t>额的100%，其中：授予小微企业合同金额0.98万元，占政府采购支出总额的60.87%。</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694.58（平方米），价值15.03万元。车辆2辆，价值57.58万元，其中：副部（省）级及以上领导用车0辆、主要领导干部用车0辆、机要通信用车0辆、应急保障用车0辆、执法执勤用车0辆、特种专业技术用车0辆、离退休干部用车0辆、其他用车2辆，其他用车主要是：一般公务用车，用于技术指导服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853A8" w:rsidRDefault="0095219B">
      <w:pPr>
        <w:ind w:firstLineChars="200" w:firstLine="640"/>
        <w:rPr>
          <w:rFonts w:ascii="仿宋_GB2312" w:eastAsia="仿宋_GB2312"/>
          <w:sz w:val="32"/>
          <w:szCs w:val="32"/>
        </w:rPr>
      </w:pPr>
      <w:r>
        <w:rPr>
          <w:rFonts w:ascii="仿宋_GB2312" w:eastAsia="仿宋_GB2312" w:hAnsi="仿宋_GB2312" w:cs="仿宋_GB2312"/>
          <w:sz w:val="32"/>
        </w:rPr>
        <w:t>根据预算绩效管理要求，我单位2019年度开展预算绩效评价项目5个，共涉及资金18.204万元。预算绩效管理取得的成效：一是经济性评价：地区畜牧工作站年度任务在预算资金额度内完成，并通过规范的项目管理及严格的资金拨付措施实现了资金的节约。三公经费在预算范围内开支，开支范围较上年无增减变化。二是效率性评价：地区畜牧工作站各项工作计划按预期计划按时完成，效益按预期时间产生。三是效益性评价：预期的经济效益、社会效益、可持续的影响产生，相关人员的满意度达到满意度目标值。发现的问题及原因：一是通过预算绩效管理，发现了工作中存在的</w:t>
      </w:r>
      <w:r>
        <w:rPr>
          <w:rFonts w:ascii="仿宋_GB2312" w:eastAsia="仿宋_GB2312" w:hAnsi="仿宋_GB2312" w:cs="仿宋_GB2312"/>
          <w:sz w:val="32"/>
        </w:rPr>
        <w:lastRenderedPageBreak/>
        <w:t>不足，如项目管理不够，档案管理还不够规范，影响了项目绩效评价。下一步改进措施：一是年初做好单位各项工作绩效目标申报，按照绩效目标及时推进实施项目，使资金使用效益最大化，减少不必要的浪费，节约成本。具体项目自评情况附项目支出绩效自评表。</w:t>
      </w:r>
    </w:p>
    <w:p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w:t>
      </w:r>
      <w:r>
        <w:rPr>
          <w:rFonts w:ascii="仿宋_GB2312" w:eastAsia="仿宋_GB2312" w:hint="eastAsia"/>
          <w:sz w:val="32"/>
          <w:szCs w:val="32"/>
        </w:rPr>
        <w:lastRenderedPageBreak/>
        <w:t>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w:t>
      </w:r>
      <w:r>
        <w:rPr>
          <w:rFonts w:ascii="仿宋_GB2312" w:eastAsia="仿宋_GB2312" w:hint="eastAsia"/>
          <w:sz w:val="32"/>
          <w:szCs w:val="32"/>
        </w:rPr>
        <w:lastRenderedPageBreak/>
        <w:t>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rsidSect="00C32B1D">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A5A" w:rsidRDefault="00C24A5A">
      <w:r>
        <w:separator/>
      </w:r>
    </w:p>
  </w:endnote>
  <w:endnote w:type="continuationSeparator" w:id="1">
    <w:p w:rsidR="00C24A5A" w:rsidRDefault="00C24A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等线 Light">
    <w:altName w:val="微软雅黑"/>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3A8" w:rsidRDefault="004B02BC">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4B02BC">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4B10B8">
                  <w:rPr>
                    <w:noProof/>
                  </w:rPr>
                  <w:t>10</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A5A" w:rsidRDefault="00C24A5A">
      <w:r>
        <w:separator/>
      </w:r>
    </w:p>
  </w:footnote>
  <w:footnote w:type="continuationSeparator" w:id="1">
    <w:p w:rsidR="00C24A5A" w:rsidRDefault="00C24A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50000" w:hash="oqA4KFv68vjTDtplSikxi5txa/E=" w:salt="0tsjWDoavUFYQKl15NJH5g=="/>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C6E66"/>
    <w:rsid w:val="000033EF"/>
    <w:rsid w:val="00004533"/>
    <w:rsid w:val="00005A21"/>
    <w:rsid w:val="0004063C"/>
    <w:rsid w:val="00064A3A"/>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0B2F"/>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A7C9D"/>
    <w:rsid w:val="004B02BC"/>
    <w:rsid w:val="004B10B8"/>
    <w:rsid w:val="004B2E7F"/>
    <w:rsid w:val="004B3B3F"/>
    <w:rsid w:val="004D35C0"/>
    <w:rsid w:val="004E519F"/>
    <w:rsid w:val="004F1ABE"/>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86E5E"/>
    <w:rsid w:val="00BC38D2"/>
    <w:rsid w:val="00BC65E4"/>
    <w:rsid w:val="00BE0A9F"/>
    <w:rsid w:val="00BF4880"/>
    <w:rsid w:val="00C01003"/>
    <w:rsid w:val="00C2317E"/>
    <w:rsid w:val="00C24A5A"/>
    <w:rsid w:val="00C32B1D"/>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37AE"/>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2B1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C32B1D"/>
    <w:pPr>
      <w:ind w:leftChars="200" w:left="420"/>
    </w:pPr>
  </w:style>
  <w:style w:type="paragraph" w:styleId="1">
    <w:name w:val="toc 1"/>
    <w:basedOn w:val="a"/>
    <w:next w:val="a"/>
    <w:rsid w:val="00C32B1D"/>
  </w:style>
  <w:style w:type="paragraph" w:styleId="a3">
    <w:name w:val="header"/>
    <w:basedOn w:val="a"/>
    <w:rsid w:val="00C32B1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C32B1D"/>
    <w:pPr>
      <w:ind w:leftChars="400" w:left="840"/>
    </w:pPr>
  </w:style>
  <w:style w:type="paragraph" w:styleId="a4">
    <w:name w:val="footer"/>
    <w:basedOn w:val="a"/>
    <w:rsid w:val="00C32B1D"/>
    <w:pPr>
      <w:tabs>
        <w:tab w:val="center" w:pos="4153"/>
        <w:tab w:val="right" w:pos="8306"/>
      </w:tabs>
      <w:snapToGrid w:val="0"/>
      <w:jc w:val="left"/>
    </w:pPr>
    <w:rPr>
      <w:sz w:val="18"/>
    </w:rPr>
  </w:style>
  <w:style w:type="paragraph" w:styleId="a5">
    <w:name w:val="annotation text"/>
    <w:basedOn w:val="a"/>
    <w:rsid w:val="00C32B1D"/>
    <w:pPr>
      <w:jc w:val="left"/>
    </w:pPr>
  </w:style>
  <w:style w:type="paragraph" w:customStyle="1" w:styleId="WPSOffice3">
    <w:name w:val="WPSOffice手动目录 3"/>
    <w:rsid w:val="00C32B1D"/>
    <w:pPr>
      <w:ind w:leftChars="400" w:left="400"/>
    </w:pPr>
  </w:style>
  <w:style w:type="paragraph" w:customStyle="1" w:styleId="WPSOffice2">
    <w:name w:val="WPSOffice手动目录 2"/>
    <w:rsid w:val="00C32B1D"/>
    <w:pPr>
      <w:ind w:leftChars="200" w:left="200"/>
    </w:pPr>
  </w:style>
  <w:style w:type="paragraph" w:customStyle="1" w:styleId="WPSOffice1">
    <w:name w:val="WPSOffice手动目录 1"/>
    <w:rsid w:val="00C32B1D"/>
  </w:style>
</w:styles>
</file>

<file path=word/webSettings.xml><?xml version="1.0" encoding="utf-8"?>
<w:webSettings xmlns:r="http://schemas.openxmlformats.org/officeDocument/2006/relationships" xmlns:w="http://schemas.openxmlformats.org/wordprocessingml/2006/main">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12</Pages>
  <Words>843</Words>
  <Characters>4806</Characters>
  <Application>Microsoft Office Word</Application>
  <DocSecurity>8</DocSecurity>
  <Lines>40</Lines>
  <Paragraphs>11</Paragraphs>
  <ScaleCrop>false</ScaleCrop>
  <Company/>
  <LinksUpToDate>false</LinksUpToDate>
  <CharactersWithSpaces>5638</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许梦如</cp:lastModifiedBy>
  <cp:revision>11</cp:revision>
  <dcterms:created xsi:type="dcterms:W3CDTF">2020-09-08T14:04:00Z</dcterms:created>
  <dcterms:modified xsi:type="dcterms:W3CDTF">2020-09-30T11:45:00Z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