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新疆喀什地区林木种苗管理站2019年度部门决算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A700BB">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A700BB">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A700BB">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A700BB">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A700BB">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A700BB">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A700BB">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A700BB">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A700BB">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Ansi="仿宋_GB2312" w:cs="仿宋_GB2312"/>
          <w:sz w:val="32"/>
        </w:rPr>
        <w:t xml:space="preserve">    1、指导、监</w:t>
      </w:r>
      <w:r w:rsidR="001524C8">
        <w:rPr>
          <w:rFonts w:ascii="仿宋_GB2312" w:eastAsia="仿宋_GB2312" w:hAnsi="仿宋_GB2312" w:cs="仿宋_GB2312"/>
          <w:sz w:val="32"/>
        </w:rPr>
        <w:t>督、检查林木种苗行业管理工作；承担林木种苗的行政执法、市场监督</w:t>
      </w:r>
      <w:r w:rsidR="001524C8">
        <w:rPr>
          <w:rFonts w:ascii="仿宋_GB2312" w:eastAsia="仿宋_GB2312" w:hAnsi="仿宋_GB2312" w:cs="仿宋_GB2312" w:hint="eastAsia"/>
          <w:sz w:val="32"/>
        </w:rPr>
        <w:t>。</w:t>
      </w:r>
      <w:r>
        <w:rPr>
          <w:rFonts w:ascii="仿宋_GB2312" w:eastAsia="仿宋_GB2312" w:hAnsi="仿宋_GB2312" w:cs="仿宋_GB2312"/>
          <w:sz w:val="32"/>
        </w:rPr>
        <w:t>2、</w:t>
      </w:r>
      <w:r w:rsidR="001524C8">
        <w:rPr>
          <w:rFonts w:ascii="仿宋_GB2312" w:eastAsia="仿宋_GB2312" w:hAnsi="仿宋_GB2312" w:cs="仿宋_GB2312"/>
          <w:sz w:val="32"/>
        </w:rPr>
        <w:t>指导、林木新品种种苗基地建设和种质资源保护、建设、开发利用工作</w:t>
      </w:r>
      <w:r w:rsidR="001524C8">
        <w:rPr>
          <w:rFonts w:ascii="仿宋_GB2312" w:eastAsia="仿宋_GB2312" w:hAnsi="仿宋_GB2312" w:cs="仿宋_GB2312" w:hint="eastAsia"/>
          <w:sz w:val="32"/>
        </w:rPr>
        <w:t>。</w:t>
      </w:r>
      <w:r>
        <w:rPr>
          <w:rFonts w:ascii="仿宋_GB2312" w:eastAsia="仿宋_GB2312" w:hAnsi="仿宋_GB2312" w:cs="仿宋_GB2312"/>
          <w:sz w:val="32"/>
        </w:rPr>
        <w:t>3、组织开</w:t>
      </w:r>
      <w:r w:rsidR="001524C8">
        <w:rPr>
          <w:rFonts w:ascii="仿宋_GB2312" w:eastAsia="仿宋_GB2312" w:hAnsi="仿宋_GB2312" w:cs="仿宋_GB2312"/>
          <w:sz w:val="32"/>
        </w:rPr>
        <w:t>展林木新品种和良种的引进、训化、实验、选育及种苗先进技术的推广</w:t>
      </w:r>
      <w:r w:rsidR="001524C8">
        <w:rPr>
          <w:rFonts w:ascii="仿宋_GB2312" w:eastAsia="仿宋_GB2312" w:hAnsi="仿宋_GB2312" w:cs="仿宋_GB2312" w:hint="eastAsia"/>
          <w:sz w:val="32"/>
        </w:rPr>
        <w:t>。</w:t>
      </w:r>
      <w:r>
        <w:rPr>
          <w:rFonts w:ascii="仿宋_GB2312" w:eastAsia="仿宋_GB2312" w:hAnsi="仿宋_GB2312" w:cs="仿宋_GB2312"/>
          <w:sz w:val="32"/>
        </w:rPr>
        <w:t>4、指导特色林果业优质种苗菜穗圃建设和管理，林木种苗项目的实施管理；承担林木种苗信息引导服务。</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新疆喀什地区林木种苗管理站2019年度，实有人数14人，其中：在职人员9人，离休人员0人，退休人员5人。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从部门决算单位构成看，新疆喀什地区林木种苗管理站部门决算包括：新疆喀什地区林木种苗管理站决算。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150.42万元，与上年相比，减少70.73万元，下降31.98%，主要原因是：退休1人，减少相应的工资、住房公积金、社保支出，中央良种补贴项目拨款减少，经费减少。本年支出150.42万元，与上年相比，减少70.73万元，下降31.98%，主要原因是：退休1人，减少相应的工资、住房公积金、社保支出，中央良种补贴项目拨</w:t>
      </w:r>
      <w:r>
        <w:rPr>
          <w:rFonts w:ascii="仿宋_GB2312" w:eastAsia="仿宋_GB2312" w:hAnsi="仿宋_GB2312" w:cs="仿宋_GB2312"/>
          <w:sz w:val="32"/>
        </w:rPr>
        <w:lastRenderedPageBreak/>
        <w:t>款减少，经费减少。</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2019年度本年收入150.42万元，其中：财政拨款收入150.42万元，占100%；上级补助收入0万元，占0%；事业收入0万元，占0%；经营收入0万元，占0%；附属单位上缴收入0万元，占0%；其他收入0万元，占0%。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2019年度本年支出150.42万元，其中：基本支出148.32万元，占98.6%；项目支出2.10万元，占1.4%；上缴上级支出0万元，占0%；经营支出0万元，占0%；对附属单位补助支出0万元，占0%。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150.42万元，与上年相比，减少70.73万元，下降31.98%，主要原因是：退休1人，减少相应的工资、住房公积金、社保支出，中央良种补贴项目拨款减少，经费减少。财政拨款支出150.42万元，与上年相比，减少70.73万元，下降31.98%，主要原因是：退休1人，减少相应的工资、住房公积金、社保支出，中央良种补贴项目拨款减少，经费减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与年初预算数相比情况：财政拨款收入年初预算数164.28万元，决算数150.42万元，预决算差异率-8.44%，主要原因是：退休1人，减少相应的工资、住房公积金、社</w:t>
      </w:r>
      <w:r>
        <w:rPr>
          <w:rFonts w:ascii="仿宋_GB2312" w:eastAsia="仿宋_GB2312" w:hAnsi="仿宋_GB2312" w:cs="仿宋_GB2312"/>
          <w:sz w:val="32"/>
        </w:rPr>
        <w:lastRenderedPageBreak/>
        <w:t>保支出。财政拨款支出年初预算数164.28万元，决算数150.42万元，预决算差异率-8.44%，主要原因是：退休1人，减少相应的工资、住房公积金、社保支出。</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2019年度一般公共预算财政拨款支出150.42万元。按功能分类科目项级科目公开，其中：</w:t>
      </w:r>
    </w:p>
    <w:p w:rsidR="00304EC1" w:rsidRDefault="002C57AF">
      <w:pPr>
        <w:ind w:firstLine="480"/>
      </w:pPr>
      <w:r>
        <w:rPr>
          <w:rFonts w:ascii="仿宋_GB2312" w:eastAsia="仿宋_GB2312" w:hAnsi="仿宋_GB2312" w:cs="仿宋_GB2312"/>
          <w:sz w:val="32"/>
        </w:rPr>
        <w:t xml:space="preserve">   2210201住房公积金支出9.89万元。</w:t>
      </w:r>
    </w:p>
    <w:p w:rsidR="00304EC1" w:rsidRDefault="002C57AF">
      <w:pPr>
        <w:ind w:firstLine="480"/>
      </w:pPr>
      <w:r>
        <w:rPr>
          <w:rFonts w:ascii="仿宋_GB2312" w:eastAsia="仿宋_GB2312" w:hAnsi="仿宋_GB2312" w:cs="仿宋_GB2312"/>
          <w:sz w:val="32"/>
        </w:rPr>
        <w:t xml:space="preserve">   2130202一般行政管理事务支出2.10万元；</w:t>
      </w:r>
    </w:p>
    <w:p w:rsidR="00304EC1" w:rsidRDefault="002C57AF">
      <w:pPr>
        <w:ind w:firstLine="480"/>
      </w:pPr>
      <w:r>
        <w:rPr>
          <w:rFonts w:ascii="仿宋_GB2312" w:eastAsia="仿宋_GB2312" w:hAnsi="仿宋_GB2312" w:cs="仿宋_GB2312"/>
          <w:sz w:val="32"/>
        </w:rPr>
        <w:t xml:space="preserve">   2130201行政运行支出121.27万元；</w:t>
      </w:r>
    </w:p>
    <w:p w:rsidR="00304EC1" w:rsidRDefault="002C57AF">
      <w:pPr>
        <w:ind w:firstLine="480"/>
      </w:pPr>
      <w:r>
        <w:rPr>
          <w:rFonts w:ascii="仿宋_GB2312" w:eastAsia="仿宋_GB2312" w:hAnsi="仿宋_GB2312" w:cs="仿宋_GB2312"/>
          <w:sz w:val="32"/>
        </w:rPr>
        <w:t xml:space="preserve">   2080506机关事业单位职业年金缴费支出3.67万元；</w:t>
      </w:r>
    </w:p>
    <w:p w:rsidR="00304EC1" w:rsidRDefault="002C57AF">
      <w:pPr>
        <w:ind w:firstLine="480"/>
      </w:pPr>
      <w:r>
        <w:rPr>
          <w:rFonts w:ascii="仿宋_GB2312" w:eastAsia="仿宋_GB2312" w:hAnsi="仿宋_GB2312" w:cs="仿宋_GB2312"/>
          <w:sz w:val="32"/>
        </w:rPr>
        <w:t xml:space="preserve">   2080505机关事业单位基本养老保险缴费支出13.48万元；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2019年度一般公共预算财政拨款基本支出148.32万元，其中：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143.88万元，包括：基本工资、津贴补贴、奖金、机关事业单位基本养老保险缴费、职业年金缴费、职工基本医疗保险缴费、公务员医疗补助缴费、其他社会保障缴费、住房公积金、退休费、生活补助、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公用经费4.44万元，包括：办公费、手续费、水费、邮电费、差旅费、维修（护）费、专用材料费、劳务费、其他交通费用。</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lastRenderedPageBreak/>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与年初预算数相比情况：一般公共预算“三公”经费支出年初预算数0万元，决算数0万元，预决算差异率0%，主</w:t>
      </w:r>
      <w:r>
        <w:rPr>
          <w:rFonts w:ascii="仿宋_GB2312" w:eastAsia="仿宋_GB2312" w:hAnsi="仿宋_GB2312" w:cs="仿宋_GB2312"/>
          <w:sz w:val="32"/>
        </w:rPr>
        <w:lastRenderedPageBreak/>
        <w:t>要原因是：预算未安排，无此项支出。其中：因公出国（境）费预算数0万元，决算数0万元，预决算差异率0%，主要原因是：预算未安排，无此项支出；公务用车购置费预算数0万元，决算数0万元，预决算差异率0%，主要原因是：预算未安排，无此项支出；公务用车运行费预算数0万元，决算数0万元，预决算差异率0%，主要原因是：预算未安排，无此项支出；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2019年度新疆喀什地区林木种苗管理站机关运行经费支出4.44万元，比上年增加1.22万元，增长37.89%，主要原因是单位追加固定资产基本共用经费，购买固定资产条码打印机。</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2019年度政府采购支出总额1.16万元，其中：政府采购货物支出1.16万元、政府采购工程支出0万元、政府采购服务支出0万元。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授予中小企业合同金额1.16万元，占政府采购支出总</w:t>
      </w:r>
      <w:r>
        <w:rPr>
          <w:rFonts w:ascii="仿宋_GB2312" w:eastAsia="仿宋_GB2312" w:hAnsi="仿宋_GB2312" w:cs="仿宋_GB2312"/>
          <w:sz w:val="32"/>
        </w:rPr>
        <w:lastRenderedPageBreak/>
        <w:t>额的100%，其中：授予小微企业合同金额0万元，占政府采购支出总额的0%。</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176（平方米），价值6.80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1个，共涉及资金2.1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有节约。发现的问题及原因：一是通过预算绩效管理，发现了工作中存在的不足，如在做项目绩效监控时，发现部分指标设立不准确或有偏差，工作任务完成，但资金有结余。下一步改进措施：一是年初做好资金计划，按照项目进度及时拨付资金，使资金使用效益最大化，减少不必要的浪费，节约成本。具体项目自评情况附项</w:t>
      </w:r>
      <w:r>
        <w:rPr>
          <w:rFonts w:ascii="仿宋_GB2312" w:eastAsia="仿宋_GB2312" w:hAnsi="仿宋_GB2312" w:cs="仿宋_GB2312"/>
          <w:sz w:val="32"/>
        </w:rPr>
        <w:lastRenderedPageBreak/>
        <w:t>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w:t>
      </w:r>
      <w:r>
        <w:rPr>
          <w:rFonts w:ascii="仿宋_GB2312" w:eastAsia="仿宋_GB2312" w:hint="eastAsia"/>
          <w:sz w:val="32"/>
          <w:szCs w:val="32"/>
        </w:rPr>
        <w:lastRenderedPageBreak/>
        <w:t>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w:t>
      </w:r>
      <w:r>
        <w:rPr>
          <w:rFonts w:ascii="仿宋_GB2312" w:eastAsia="仿宋_GB2312" w:hint="eastAsia"/>
          <w:sz w:val="32"/>
          <w:szCs w:val="32"/>
        </w:rPr>
        <w:lastRenderedPageBreak/>
        <w:t>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304EC1">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DEB" w:rsidRDefault="004D5DEB">
      <w:r>
        <w:separator/>
      </w:r>
    </w:p>
  </w:endnote>
  <w:endnote w:type="continuationSeparator" w:id="1">
    <w:p w:rsidR="004D5DEB" w:rsidRDefault="004D5D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A700BB">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A700BB">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CF4176">
                  <w:rPr>
                    <w:noProof/>
                  </w:rPr>
                  <w:t>10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DEB" w:rsidRDefault="004D5DEB">
      <w:r>
        <w:separator/>
      </w:r>
    </w:p>
  </w:footnote>
  <w:footnote w:type="continuationSeparator" w:id="1">
    <w:p w:rsidR="004D5DEB" w:rsidRDefault="004D5D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50000" w:hash="ICe3I0ukcy5Uf70VVqt8dMPWxFc=" w:salt="PJ9tVoiUTKxvrS8h7qwhiQ=="/>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24C8"/>
    <w:rsid w:val="001573AA"/>
    <w:rsid w:val="00162E66"/>
    <w:rsid w:val="001826D1"/>
    <w:rsid w:val="001848EE"/>
    <w:rsid w:val="00186B3B"/>
    <w:rsid w:val="001C2D35"/>
    <w:rsid w:val="001C5BE8"/>
    <w:rsid w:val="001C6E66"/>
    <w:rsid w:val="001D3634"/>
    <w:rsid w:val="001D37EF"/>
    <w:rsid w:val="001E4D79"/>
    <w:rsid w:val="001F29A9"/>
    <w:rsid w:val="001F777A"/>
    <w:rsid w:val="0021028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C57AF"/>
    <w:rsid w:val="002D187F"/>
    <w:rsid w:val="002F1732"/>
    <w:rsid w:val="00304EC1"/>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D5DEB"/>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00BB"/>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CF4176"/>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4E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304EC1"/>
    <w:pPr>
      <w:ind w:leftChars="200" w:left="420"/>
    </w:pPr>
  </w:style>
  <w:style w:type="paragraph" w:styleId="1">
    <w:name w:val="toc 1"/>
    <w:basedOn w:val="a"/>
    <w:next w:val="a"/>
    <w:rsid w:val="00304EC1"/>
  </w:style>
  <w:style w:type="paragraph" w:styleId="a3">
    <w:name w:val="header"/>
    <w:basedOn w:val="a"/>
    <w:rsid w:val="00304EC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304EC1"/>
    <w:pPr>
      <w:ind w:leftChars="400" w:left="840"/>
    </w:pPr>
  </w:style>
  <w:style w:type="paragraph" w:styleId="a4">
    <w:name w:val="footer"/>
    <w:basedOn w:val="a"/>
    <w:rsid w:val="00304EC1"/>
    <w:pPr>
      <w:tabs>
        <w:tab w:val="center" w:pos="4153"/>
        <w:tab w:val="right" w:pos="8306"/>
      </w:tabs>
      <w:snapToGrid w:val="0"/>
      <w:jc w:val="left"/>
    </w:pPr>
    <w:rPr>
      <w:sz w:val="18"/>
    </w:rPr>
  </w:style>
  <w:style w:type="paragraph" w:styleId="a5">
    <w:name w:val="annotation text"/>
    <w:basedOn w:val="a"/>
    <w:rsid w:val="00304EC1"/>
    <w:pPr>
      <w:jc w:val="left"/>
    </w:pPr>
  </w:style>
  <w:style w:type="paragraph" w:customStyle="1" w:styleId="WPSOffice3">
    <w:name w:val="WPSOffice手动目录 3"/>
    <w:rsid w:val="00304EC1"/>
    <w:pPr>
      <w:ind w:leftChars="400" w:left="400"/>
    </w:pPr>
  </w:style>
  <w:style w:type="paragraph" w:customStyle="1" w:styleId="WPSOffice2">
    <w:name w:val="WPSOffice手动目录 2"/>
    <w:rsid w:val="00304EC1"/>
    <w:pPr>
      <w:ind w:leftChars="200" w:left="200"/>
    </w:pPr>
  </w:style>
  <w:style w:type="paragraph" w:customStyle="1" w:styleId="WPSOffice1">
    <w:name w:val="WPSOffice手动目录 1"/>
    <w:rsid w:val="00304EC1"/>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818</Words>
  <Characters>4668</Characters>
  <Application>Microsoft Office Word</Application>
  <DocSecurity>8</DocSecurity>
  <Lines>38</Lines>
  <Paragraphs>10</Paragraphs>
  <ScaleCrop>false</ScaleCrop>
  <Company/>
  <LinksUpToDate>false</LinksUpToDate>
  <CharactersWithSpaces>5476</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许梦如</cp:lastModifiedBy>
  <cp:revision>15</cp:revision>
  <dcterms:created xsi:type="dcterms:W3CDTF">2020-09-08T14:04:00Z</dcterms:created>
  <dcterms:modified xsi:type="dcterms:W3CDTF">2020-09-30T11:42:00Z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