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新疆喀什地区农机安全监理所2019年度部门决算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指导并组织实施全地区农机安全监理工作；负责组织实施农业机械登记、核发牌证、定期安全技术检验，对农业机械驾驶人员进行考试，核发驾驶证，定期审验；负责农机销售市场、维修市场、作业市场安全监管；开展农机监理人员培训与业务交流活动；组织农机</w:t>
      </w:r>
      <w:bookmarkStart w:id="54" w:name="_GoBack"/>
      <w:bookmarkEnd w:id="54"/>
      <w:r>
        <w:rPr>
          <w:rFonts w:hint="eastAsia" w:ascii="仿宋_GB2312" w:hAnsi="仿宋_GB2312" w:eastAsia="仿宋_GB2312" w:cs="仿宋_GB2312"/>
          <w:sz w:val="32"/>
          <w:lang w:eastAsia="zh-CN"/>
        </w:rPr>
        <w:t>生产</w:t>
      </w:r>
      <w:r>
        <w:rPr>
          <w:rFonts w:ascii="仿宋_GB2312" w:hAnsi="仿宋_GB2312" w:eastAsia="仿宋_GB2312" w:cs="仿宋_GB2312"/>
          <w:sz w:val="32"/>
        </w:rPr>
        <w:t>检查；承担农机事故统计、分析、上报工作，并提出防范措施；负责处理重特大农机事故及对农机事故责任重新认定的复议工作；负责对农业机械参加机动车交通事故责任强制保险的情况实施监督检查，与公安、保险等部门交流农机事故信息；组织开展农机</w:t>
      </w:r>
      <w:r>
        <w:rPr>
          <w:rFonts w:hint="eastAsia" w:ascii="仿宋_GB2312" w:hAnsi="仿宋_GB2312" w:eastAsia="仿宋_GB2312" w:cs="仿宋_GB2312"/>
          <w:sz w:val="32"/>
          <w:lang w:eastAsia="zh-CN"/>
        </w:rPr>
        <w:t>生产</w:t>
      </w:r>
      <w:r>
        <w:rPr>
          <w:rFonts w:ascii="仿宋_GB2312" w:hAnsi="仿宋_GB2312" w:eastAsia="仿宋_GB2312" w:cs="仿宋_GB2312"/>
          <w:sz w:val="32"/>
        </w:rPr>
        <w:t>宣传和教育活动。</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新疆喀什地区农机安全监理所2019年度，实有人数17人，其中：在职人员12人，离休人员0人，退休人员5人。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从部门决算单位构成看，新疆喀什地区农机安全监理所部门决算包括：新疆喀什地区农机安全监理所决算。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210.13万元，与上年相比，减少23.12万元，下降9.91%，主要原因是：我单位2019年度较2018年减少了“农业生产支持补贴”项目、“大型工程机械设备师资培训”项目“专项业务经费”项目。本年支出210.13万元，与上年相比，减少23.12万元，下降9.91%，主要原因是：我单位2019年度较2018年减少了“农业生产支持补贴”项目、“大型工程机械设备师资培训”项目“专项业务经费”项目。</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2019年度本年收入210.13万元，其中：财政拨款收入210.13万元，占100%；上级补助收入0万元，占0%；事业收入0万元，占0%；经营收入0万元，占0%；附属单位上缴收入0万元，占0%；其他收入0万元，占0%。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2019年度本年支出210.13万元，其中：基本支出199.71万元，占95.04%；项目支出10.42万元，占4.96%；上缴上级支出0万元，占0%；经营支出0万元，占0%；对附属单位补助支出0万元，占0%。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210.13万元，与上年相比，减少23.12万元，下降9.91%，主要原因是：我单位2019年度较2018年减少了“农业生产支持补贴”项目、“大型工程机械设备师资培训”项目“专项业务经费”项目。财政拨款支出210.13万元，与上年相比，减少23.12万元，下降9.91%，主要原因是：我单位2019年度较2018年减少了“农业生产支持补贴”项目、“大型工程机械设备师资培训”项目“专项业务经费”项目。</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230.36万元，决算数210.13万元，预决算差异率-8.78%，主要原因是：本年度安排的“大型工程机械监管平台”项目资金未执行完毕且一人调出，一人退休。财政拨款支出年初预算数240.16万元，决算数210.13万元，预决算差异率-12.5%，主要原因是：本年度安排的“大型工程机械监管平台”项目资金未执行完毕且一人调出，一人退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2019年度一般公共预算财政拨款支出210.13万元。按功能分类科目项级科目公开，其中：</w:t>
      </w:r>
    </w:p>
    <w:p>
      <w:pPr>
        <w:ind w:firstLine="480"/>
      </w:pPr>
      <w:r>
        <w:rPr>
          <w:rFonts w:ascii="仿宋_GB2312" w:hAnsi="仿宋_GB2312" w:eastAsia="仿宋_GB2312" w:cs="仿宋_GB2312"/>
          <w:sz w:val="32"/>
        </w:rPr>
        <w:t xml:space="preserve">   2210201住房公积金支出13.15万元。</w:t>
      </w:r>
    </w:p>
    <w:p>
      <w:pPr>
        <w:ind w:firstLine="480"/>
      </w:pPr>
      <w:r>
        <w:rPr>
          <w:rFonts w:ascii="仿宋_GB2312" w:hAnsi="仿宋_GB2312" w:eastAsia="仿宋_GB2312" w:cs="仿宋_GB2312"/>
          <w:sz w:val="32"/>
        </w:rPr>
        <w:t xml:space="preserve">   2130199其他农业支出9.60万元；</w:t>
      </w:r>
    </w:p>
    <w:p>
      <w:pPr>
        <w:ind w:firstLine="480"/>
      </w:pPr>
      <w:r>
        <w:rPr>
          <w:rFonts w:ascii="仿宋_GB2312" w:hAnsi="仿宋_GB2312" w:eastAsia="仿宋_GB2312" w:cs="仿宋_GB2312"/>
          <w:sz w:val="32"/>
        </w:rPr>
        <w:t xml:space="preserve">   2130122农业生产支持补贴支出0.82万元；</w:t>
      </w:r>
    </w:p>
    <w:p>
      <w:pPr>
        <w:ind w:firstLine="480"/>
      </w:pPr>
      <w:r>
        <w:rPr>
          <w:rFonts w:ascii="仿宋_GB2312" w:hAnsi="仿宋_GB2312" w:eastAsia="仿宋_GB2312" w:cs="仿宋_GB2312"/>
          <w:sz w:val="32"/>
        </w:rPr>
        <w:t xml:space="preserve">   2130101行政运行支出163.76万元；</w:t>
      </w:r>
    </w:p>
    <w:p>
      <w:pPr>
        <w:ind w:firstLine="480"/>
      </w:pPr>
      <w:r>
        <w:rPr>
          <w:rFonts w:ascii="仿宋_GB2312" w:hAnsi="仿宋_GB2312" w:eastAsia="仿宋_GB2312" w:cs="仿宋_GB2312"/>
          <w:sz w:val="32"/>
        </w:rPr>
        <w:t xml:space="preserve">   2080506机关事业单位职业年金缴费支出4.96万元；</w:t>
      </w:r>
    </w:p>
    <w:p>
      <w:pPr>
        <w:ind w:firstLine="480"/>
      </w:pPr>
      <w:r>
        <w:rPr>
          <w:rFonts w:ascii="仿宋_GB2312" w:hAnsi="仿宋_GB2312" w:eastAsia="仿宋_GB2312" w:cs="仿宋_GB2312"/>
          <w:sz w:val="32"/>
        </w:rPr>
        <w:t xml:space="preserve">   2080505机关事业单位基本养老保险缴费支出17.84万元；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2019年度一般公共预算财政拨款基本支出199.71万元，其中：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188.16万元，包括：基本工资、津贴补贴、奖金、机关事业单位基本养老保险缴费、职业年金缴费、职工基本医疗保险缴费、公务员医疗补助缴费、其他社会保障缴费、住房公积金、退休费、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公用经费11.55万元，包括：办公费、维修（护）费、劳务费、公务用车运行维护费、其他商品和服务支出。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4.34万元，比上年减少1.06万元，降低19.63%，主要原因是我单位严格执行八项规定，压缩“三公”经费。其中，因公出国（境）费支出0万元，占0%，比上年增加0万元，增长0%，主要原因是与上年相比无变动，与上年一致；公务用车购置及运行维护费支出4.34万元，占100%，比上年减少1.06万元，降低19.63%，主要原因是我单位严格执行八项规定，压缩“三公”经费；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公务用车购置及运行维护费4.34万元，其中，公务用车购置费0万元，公务用车运行维护费4.34万元。公务用车运行维护费开支内容包括汽车油料、汽车修理费、车辆保险。公务用车购置数0辆，公务用车保有量0辆。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5.40万元，决算数4.34万元，预决算差异率-19.63%，主要原因是：我单位严格执行八项规定，压缩“三公”经费。其中：因公出国（境）费预算数0万元，决算数0万元，预决算差异率0%，主要原因是：预算未安排，无此项支出；公务用车购置费预算数0万元，决算数0万元，预决算差异率0%，主要原因是：预算未安排，无此项支出；公务用车运行费预算数5.40万元，决算数4.34万元，预决算差异率-19.63%，主要原因是：我单位严格执行八项规定，压缩“三公”经费；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2019年度新疆喀什地区农机安全监理所机关运行经费支出11.55万元，比上年增加1.80万元，增长18.46%，主要原因是民族团结工作经费增加。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2019年度政府采购支出总额1.63万元，其中：政府采购货物支出0万元、政府采购工程支出0万元、政府采购服务支出1.63万元。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授予中小企业合同金额1.63万元，占政府采购支出总额的100%，其中：授予小微企业合同金额1.63万元，占政府采购支出总额的100%。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225（平方米），价值3.78万元。车辆0辆，价值0万元，其中：副部（省）级及以上领导用车0辆、主要领导干部用车0辆、机要通信用车0辆、应急保障用车0辆、执法执勤用车0辆、特种专业技术用车0辆、离退休干部用车0辆、其他用车0辆，其他用车主要是：无；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2个，共涉及资金10.82万元。预算绩效管理取得的成效：一是经济性评价：部门年度任务在预算资金额度内完成，并通过规范的招投标及严格的资金管理及项目管理及其他创新的管理措施实现了资金的节约。三公经费是在预算范围内开支，开支范围较上年的变化，有节约。二是效率性评价：各项工作计划是按预期计划按时完成，效益按预期时间产生。三是效益性评价：预期的经济效益、社会效益、可持续的影响产生，相关人员的满意度达到95%。发现的问题及原因：一是通过预算绩效管理，发现了工作中存在的不足，如前期资金使用因大环境因素项目未按期开展故未按期支付，导致了资金滞缓，影响了项目的进度，造成了部分资金的浪费。下一步改进措施：一是通过预算绩效管理，发现了工作中存在的不足，如前期资金使用因大环境因素项目未按期开展故未按期支付，导致了资金滞缓，影响了项目的进度，造成了部分资金的浪费。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XF406F+rjfnETNpnoOaNVh2SRiI=" w:salt="c/Yl0DOpQ2s8r17UgUjuHw=="/>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02667"/>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5518C"/>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00D1"/>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E1C27"/>
    <w:rsid w:val="00FF5166"/>
    <w:rsid w:val="06792773"/>
    <w:rsid w:val="1A043B39"/>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878</Words>
  <Characters>5006</Characters>
  <Lines>41</Lines>
  <Paragraphs>11</Paragraphs>
  <TotalTime>9</TotalTime>
  <ScaleCrop>false</ScaleCrop>
  <LinksUpToDate>false</LinksUpToDate>
  <CharactersWithSpaces>5873</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2021-05-21T10:59:24Z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