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渔业检测中心渔业科技入户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  <w:t>渔业科技入户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  <w:t>喀什地区渔业检测中心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  <w:t>喀什地区渔业检测中心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3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Lines="50" w:line="600" w:lineRule="exact"/>
        <w:ind w:firstLine="66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新疆维吾尔自治区财政厅新财预【2018】139号文件《关于做好2019年部门预算项目支出绩效目标管理有关事宜的通知》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，单位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召开行政会议，研究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《渔业科技入户》项目。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旨在申请项目资金，为全地区的养殖户提供渔业技术指导，提高渔民收入，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实现“强渔富民”乡村振兴发展目标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17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项目实施前进行充分调研，制定实施方案，项目实施过程中严格按照实施方案进行实施并及时进行监督管理，项目实施后进行及时验收。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3.项目负责人为吴永俊，主要职责为全面负责单位的水产技术推广、渔业病害防治、水产品质量安全检测、渔业水域环境监测等业务工作。</w:t>
      </w:r>
    </w:p>
    <w:p>
      <w:pPr>
        <w:pStyle w:val="23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4.36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元，资金来源为本级部门预算资金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4.36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元。</w:t>
      </w:r>
    </w:p>
    <w:p>
      <w:pPr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资金的使用范围：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为喀什地区各县市渔业养殖户提供技术设备和科技服务。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喀什地区渔业检测中心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制定了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渔业科技入户项目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资金管理办法，按照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项目实施方案和资金管理办法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进行使用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3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在养殖期间开展至少3次渔业科技入户工作，发放涵盖水产健康养殖及渔业病害防止等内容的科技入户手册，进一步提升渔民养殖技术和渔业病害防治能力；发放池塘养殖日志，督促科技入户的养殖户规范生产、安全用药，确保水产品质量安全；帮助渔民解决养殖环节中遇到的实际问题，大力推广健康养殖技术，辐射带动周边渔民，促进渔民增收，实现“强渔富民”乡村振兴发展目标。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个，绩效目标申报表详见附件1。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渔业科技入户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项目资金，评价范围包括项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目</w:t>
      </w:r>
      <w:r>
        <w:rPr>
          <w:rFonts w:ascii="仿宋_GB2312" w:hAnsi="仿宋" w:eastAsia="仿宋_GB2312" w:cs="宋体"/>
          <w:sz w:val="32"/>
          <w:szCs w:val="32"/>
          <w:lang w:bidi="ar"/>
        </w:rPr>
        <w:t>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统筹兼顾。单位自评、部门评价和财政评价职责明确，各有侧重，相互衔接。单位自评由</w:t>
      </w:r>
      <w:r>
        <w:rPr>
          <w:rFonts w:hint="eastAsia" w:hAnsi="仿宋" w:cs="宋体"/>
          <w:b w:val="0"/>
          <w:lang w:val="en-US" w:eastAsia="zh-CN" w:bidi="ar"/>
        </w:rPr>
        <w:t>喀什地区渔业检测中心</w:t>
      </w:r>
      <w:r>
        <w:rPr>
          <w:rFonts w:hint="eastAsia" w:hAnsi="仿宋" w:cs="宋体"/>
          <w:b w:val="0"/>
          <w:lang w:bidi="ar"/>
        </w:rPr>
        <w:t>自主实施，即“谁支出、谁自评”。部门评价和财政评价在单位自评的基础上开展，</w:t>
      </w:r>
      <w:r>
        <w:rPr>
          <w:rFonts w:hint="eastAsia" w:hAnsi="仿宋" w:cs="宋体"/>
          <w:b w:val="0"/>
          <w:lang w:val="en-US" w:eastAsia="zh-CN" w:bidi="ar"/>
        </w:rPr>
        <w:t>并</w:t>
      </w:r>
      <w:r>
        <w:rPr>
          <w:rFonts w:hint="eastAsia" w:hAnsi="仿宋" w:cs="宋体"/>
          <w:b w:val="0"/>
          <w:lang w:bidi="ar"/>
        </w:rPr>
        <w:t>委托第三方机构</w:t>
      </w:r>
      <w:r>
        <w:rPr>
          <w:rFonts w:hint="eastAsia" w:hAnsi="仿宋" w:cs="宋体"/>
          <w:b w:val="0"/>
          <w:lang w:val="en-US" w:eastAsia="zh-CN" w:bidi="ar"/>
        </w:rPr>
        <w:t>审核</w:t>
      </w:r>
      <w:r>
        <w:rPr>
          <w:rFonts w:hint="eastAsia" w:hAnsi="仿宋" w:cs="宋体"/>
          <w:b w:val="0"/>
          <w:lang w:bidi="ar"/>
        </w:rPr>
        <w:t>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</w:t>
      </w:r>
      <w:r>
        <w:rPr>
          <w:rFonts w:hint="eastAsia" w:hAnsi="仿宋" w:cs="宋体"/>
          <w:b w:val="0"/>
          <w:lang w:eastAsia="zh-CN" w:bidi="ar"/>
        </w:rPr>
        <w:t>将</w:t>
      </w:r>
      <w:r>
        <w:rPr>
          <w:rFonts w:hint="eastAsia" w:hAnsi="仿宋" w:cs="宋体"/>
          <w:b w:val="0"/>
          <w:lang w:bidi="ar"/>
        </w:rPr>
        <w:t>绩效评价结果与预算安排、政策调整、改进管理实质性挂钩，体现奖优罚劣和激励相容导向，</w:t>
      </w:r>
      <w:r>
        <w:rPr>
          <w:rFonts w:hint="eastAsia" w:hAnsi="仿宋" w:cs="宋体"/>
          <w:b w:val="0"/>
          <w:lang w:eastAsia="zh-CN" w:bidi="ar"/>
        </w:rPr>
        <w:t>做到</w:t>
      </w:r>
      <w:r>
        <w:rPr>
          <w:rFonts w:hint="eastAsia" w:hAnsi="仿宋" w:cs="宋体"/>
          <w:b w:val="0"/>
          <w:lang w:bidi="ar"/>
        </w:rPr>
        <w:t>有效安排、低效压减、无效问责。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公开透明。绩效评价结果依法依规公开，并自觉接受社会监督。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</w:t>
      </w:r>
      <w:r>
        <w:rPr>
          <w:rFonts w:hint="eastAsia"/>
          <w:b w:val="0"/>
          <w:color w:val="auto"/>
          <w:lang w:bidi="ar"/>
        </w:rPr>
        <w:t>指标设置，详见附件</w:t>
      </w:r>
      <w:r>
        <w:rPr>
          <w:rFonts w:hint="eastAsia"/>
          <w:b w:val="0"/>
          <w:color w:val="auto"/>
          <w:lang w:val="en-US" w:eastAsia="zh-CN" w:bidi="ar"/>
        </w:rPr>
        <w:t>4</w:t>
      </w:r>
      <w:r>
        <w:rPr>
          <w:rFonts w:hint="eastAsia"/>
          <w:b w:val="0"/>
          <w:color w:val="auto"/>
          <w:lang w:bidi="ar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pStyle w:val="23"/>
        <w:numPr>
          <w:ilvl w:val="0"/>
          <w:numId w:val="0"/>
        </w:numPr>
        <w:ind w:firstLine="640" w:firstLineChars="200"/>
        <w:rPr>
          <w:rFonts w:hint="eastAsia" w:cs="Times New Roman"/>
          <w:b w:val="0"/>
          <w:lang w:bidi="ar"/>
        </w:rPr>
      </w:pPr>
      <w:r>
        <w:rPr>
          <w:rFonts w:hint="eastAsia" w:cs="Times New Roman"/>
          <w:b w:val="0"/>
          <w:lang w:bidi="ar"/>
        </w:rPr>
        <w:t>本次绩效评价方法的选用</w:t>
      </w:r>
      <w:r>
        <w:rPr>
          <w:rFonts w:hint="eastAsia" w:cs="Times New Roman"/>
          <w:b w:val="0"/>
          <w:lang w:eastAsia="zh-CN" w:bidi="ar"/>
        </w:rPr>
        <w:t>按照</w:t>
      </w:r>
      <w:r>
        <w:rPr>
          <w:rFonts w:hint="eastAsia" w:cs="Times New Roman"/>
          <w:b w:val="0"/>
          <w:lang w:bidi="ar"/>
        </w:rPr>
        <w:t>简便有效的原则</w:t>
      </w:r>
      <w:r>
        <w:rPr>
          <w:rFonts w:hint="eastAsia" w:cs="Times New Roman"/>
          <w:b w:val="0"/>
          <w:lang w:eastAsia="zh-CN" w:bidi="ar"/>
        </w:rPr>
        <w:t>，</w:t>
      </w:r>
      <w:r>
        <w:rPr>
          <w:rFonts w:hint="eastAsia" w:cs="Times New Roman"/>
          <w:b w:val="0"/>
          <w:lang w:bidi="ar"/>
        </w:rPr>
        <w:t>采用衡工量值法、专家评议法、问卷调查法。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计划标准、行业标准、历史标准</w:t>
      </w:r>
      <w:r>
        <w:rPr>
          <w:rFonts w:hint="eastAsia"/>
          <w:bCs w:val="0"/>
          <w:color w:val="auto"/>
          <w:lang w:eastAsia="zh-CN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</w:t>
      </w:r>
      <w:r>
        <w:rPr>
          <w:rFonts w:hint="eastAsia"/>
          <w:b w:val="0"/>
          <w:bCs w:val="0"/>
          <w:lang w:eastAsia="zh-CN" w:bidi="ar"/>
        </w:rPr>
        <w:t>小组</w:t>
      </w:r>
      <w:r>
        <w:rPr>
          <w:rFonts w:hint="eastAsia"/>
          <w:b w:val="0"/>
          <w:bCs w:val="0"/>
          <w:lang w:bidi="ar"/>
        </w:rPr>
        <w:t>，成员如下：</w:t>
      </w:r>
    </w:p>
    <w:tbl>
      <w:tblPr>
        <w:tblStyle w:val="1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刘金剑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廖如月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吴永俊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助工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rFonts w:hint="eastAsia" w:ascii="仿宋_GB2312" w:eastAsia="仿宋_GB2312" w:cs="Times New Roman" w:hAnsiTheme="majorHAnsi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eastAsia="仿宋_GB2312" w:cs="Times New Roman" w:hAnsiTheme="majorHAnsi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本次评价设计了评价方案、评价指标体系，通过资料分析、调研、访谈满意度调查等方式形成评价结论，在与单位基建办沟通后确定评价意见，并出具评价报告。　</w:t>
      </w:r>
    </w:p>
    <w:p>
      <w:pPr>
        <w:pStyle w:val="21"/>
        <w:numPr>
          <w:ilvl w:val="0"/>
          <w:numId w:val="0"/>
        </w:numPr>
        <w:ind w:left="643" w:leftChars="0"/>
        <w:rPr>
          <w:color w:val="FF0000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  <w:lang w:val="en-US" w:eastAsia="zh-CN"/>
        </w:rPr>
        <w:t>三、</w:t>
      </w:r>
      <w:r>
        <w:rPr>
          <w:rFonts w:hint="eastAsia" w:ascii="黑体" w:hAnsi="黑体"/>
          <w:color w:val="auto"/>
          <w:highlight w:val="none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经评价组通过实地调研、资料分析等方式，采用综合分析法、成本效益分析法、最低成本法、标杆管理法等对项目的决策、管理、绩效进行的综合评价分析，项目得分为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100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分，评价结果为优，详见附件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</w:t>
      </w:r>
      <w:r>
        <w:rPr>
          <w:rFonts w:hint="eastAsia" w:ascii="仿宋_GB2312" w:hAnsi="仿宋" w:cs="宋体"/>
          <w:sz w:val="32"/>
          <w:szCs w:val="32"/>
          <w:lang w:val="en-US" w:eastAsia="zh-CN" w:bidi="ar"/>
        </w:rPr>
        <w:t>喀什地区渔业检测中心工作</w:t>
      </w:r>
      <w:r>
        <w:rPr>
          <w:rFonts w:hint="eastAsia" w:ascii="仿宋_GB2312" w:hAnsi="仿宋" w:cs="宋体"/>
          <w:sz w:val="32"/>
          <w:szCs w:val="32"/>
          <w:lang w:bidi="ar"/>
        </w:rPr>
        <w:t>职责，依据充分；项目按照规定的程序申请设立；审批文件、材料符合相关要求；项目前期已经过必要的绩效评估、集体决策。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能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及时支付，资金使用符合国家法规和财务管理制度；资金拨付有完整的审批程序和手续，符合项目预算批复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合同规定的用途；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已制定相应的财务和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管理制度，财务和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管理制度合法、合规、完整。项目实施遵守相关法律法规和相关管理规定。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项目支出手续完备，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相关证明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资料齐全并及时归档，项目实施的人员条件、信息支撑等落实到位。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科技入户次数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3次，</w:t>
      </w:r>
      <w:r>
        <w:rPr>
          <w:rFonts w:hint="eastAsia" w:ascii="仿宋_GB2312" w:eastAsia="仿宋_GB2312"/>
          <w:sz w:val="32"/>
          <w:szCs w:val="32"/>
        </w:rPr>
        <w:t>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示范推广水产养殖标准化健康养殖面积，预期指标值为100亩，实际完成值为100亩，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入户渔民亩产提高，预期指标值为100公斤，实际完成值为100公斤，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rPr>
          <w:rFonts w:hint="default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发放渔业科技入户手册及养殖日志等资料数量，预期指标值为70份，实际完成值为90份，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养殖服务覆盖率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投放完成率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每次服务天数，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5天，</w:t>
      </w:r>
      <w:r>
        <w:rPr>
          <w:rFonts w:hint="eastAsia" w:ascii="仿宋_GB2312" w:eastAsia="仿宋_GB2312"/>
          <w:sz w:val="32"/>
          <w:szCs w:val="32"/>
        </w:rPr>
        <w:t>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5天，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24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投放及时率，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90%，</w:t>
      </w:r>
      <w:r>
        <w:rPr>
          <w:rFonts w:hint="eastAsia" w:ascii="仿宋_GB2312" w:eastAsia="仿宋_GB2312"/>
          <w:sz w:val="32"/>
          <w:szCs w:val="32"/>
        </w:rPr>
        <w:t>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渔业科技入户单位成本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4.36万元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4.36万元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6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指标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辐射、带动周边低产养殖户数量增加，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有效增加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有效增加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default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标准化健康养殖面积持续增加，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持续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持续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渔业科技入户渔民满意度为：95%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达到了预期目标。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3"/>
        <w:numPr>
          <w:ilvl w:val="0"/>
          <w:numId w:val="0"/>
        </w:numPr>
        <w:ind w:firstLine="640" w:firstLineChars="200"/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"/>
        </w:rPr>
        <w:t>通过预算绩效管理，总结了工作中的较好的经验，如：年初一定要认真考虑统筹做好资金计划，按照项目进度及时拨付资金，使资金使用效益最大化，减少不必要的浪费，否则，稍有不慎，就会导致后续资金执行受阻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20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highlight w:val="none"/>
          <w:lang w:val="en-US" w:eastAsia="zh-CN"/>
        </w:rPr>
        <w:t>通过预算绩效管理，发现了工作中存在的不足，如前期资金使用因单位技术人员缺少，致使入户服务工作滞后，导致了资金支付滞缓，影响了项目的进度。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Style w:val="21"/>
        <w:ind w:firstLine="0" w:firstLineChars="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kern w:val="2"/>
          <w:sz w:val="32"/>
          <w:szCs w:val="32"/>
          <w:highlight w:val="none"/>
          <w:lang w:val="en-US" w:eastAsia="zh-CN" w:bidi="ar-SA"/>
        </w:rPr>
        <w:t xml:space="preserve"> 年初认真考虑统筹做好资金计划，按照项目进度及时拨付资金，使资金使用效益最大化，减少不必要的浪费，节约成本。但有时也会因情况有变而使项目执行受阻，建议在政策允许的前提下，在专项资金的实际使用过程中，可根据实际情况做必要的调整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无其他说明内容。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渔业检测中心渔业科技入户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3C60115"/>
    <w:rsid w:val="15E13207"/>
    <w:rsid w:val="217F35A7"/>
    <w:rsid w:val="228B6C14"/>
    <w:rsid w:val="23B11BAE"/>
    <w:rsid w:val="24E73B1F"/>
    <w:rsid w:val="26F03C06"/>
    <w:rsid w:val="2A547683"/>
    <w:rsid w:val="2B917017"/>
    <w:rsid w:val="35123B7C"/>
    <w:rsid w:val="372070FA"/>
    <w:rsid w:val="53101AC1"/>
    <w:rsid w:val="57964064"/>
    <w:rsid w:val="665B3BFF"/>
    <w:rsid w:val="667765BF"/>
    <w:rsid w:val="69437E67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标题 1 字符"/>
    <w:basedOn w:val="12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批注框文本 字符"/>
    <w:basedOn w:val="12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字符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2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字符"/>
    <w:basedOn w:val="12"/>
    <w:link w:val="2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2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0</TotalTime>
  <ScaleCrop>false</ScaleCrop>
  <LinksUpToDate>false</LinksUpToDate>
  <CharactersWithSpaces>6006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2020-09-05T05:57:47Z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